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13.10.22 Order Dismissing Loonkar Application to Implead PVM Associates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13.10.22 Order Dismissing Loonkar Application to Implead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13.10.22 Order Dismissing Loonkar Application to Implead PVM Associates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Civil Suit/13.10.22 Order Dismissing Loonkar Application to Implead PVM Associates.pdf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`fbec6f21ef7672720ef915a74c60be8db14c8323781a7eae86847570d36ab57e`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13.10.22 Order Dismissing Loonkar Application to Implead PVM Associates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1-4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1-4 --&gt;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 reserved on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 pronounced on: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07.10.2022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CNR NO: GANG020025402013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Special Civil Suit No.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(BELOW EXHIBIT D-170)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(Delivered on this 13th day of the month of October of the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2022)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Heard Ld. Advocate P. Rao for the defendant no. 20.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plaintiff has given no objection to the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application. The defendant desires to implead M/s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as a party in the present suit. It is contended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defendant no.20 that vide 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01.04.2013, the suit property was transferred by defendant no. I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above mentioned Association of Persons and thus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is necessary party to the present suit. The defendant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no.20 has relied on the copy of the Articles of Association.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have perused the copy of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relied by the defendant no.20. it is a document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executed before the Notary Public. It is not registered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Basically, said document was executed by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object of developing the properties mentioned therein. 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also specifies the shares of the respective parties. It is further seen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share of the defendant no.1 was decided based on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contribution by way of providing the properties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development. The other two parties had contributed in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money.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my opinion, said Articles of Association does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create any right, title in favour of the said Association based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document. In case there was such intention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parties, then same ought to have been crystallized by entering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 agreement. Therefore, no right or title is crystallized in favour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Association. Apart from the above, there is enormous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inordinate delay in preferring the present application i.e. nearly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a decade. for which no explanation has been given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it as it may, we must not lose the sight of the fact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plaintiff is a dominus-litus and therefore, if at all any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has been filed, the same should have been preferred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plaintiff. It is further to be appreciated that the members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Article of Association have not approached this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on the contrary, the defendant no. 20 desires to implead them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without showing any justification for doing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 appears from the conduct of the parties that they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wish to protract the present proceedings by resorting to filing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unmeritorious applications, till the Government accords them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permission to settle the matter. Hence, the cost has to be imposed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defendant no. 20.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following: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backdrop of the above discussion, I pass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application is dismissed with cost of Rs. 2,000/-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be paid to the District Legal Services Authority as condition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precedent.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Dated: 13/10/2022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Mp/-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(Ram Subrai Prabhu Dessai)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Senior Civil Judge, 'A' Court,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Panaji.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