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rPr>
          <w:rFonts w:ascii="Times New Roman" w:hAnsi="Times New Roman" w:eastAsia="Times New Roman"/>
          <w:b/>
          <w:i w:val="0"/>
          <w:color w:val="8B2E2E"/>
          <w:sz w:val="24"/>
        </w:rPr>
        <w:t>ARBITRATION ARCHIVE</w:t>
      </w:r>
    </w:p>
    <w:p>
      <w:pPr>
        <w:jc w:val="center"/>
      </w:pPr>
      <w:r>
        <w:rPr>
          <w:rFonts w:ascii="Times New Roman" w:hAnsi="Times New Roman" w:eastAsia="Times New Roman"/>
          <w:b/>
          <w:i w:val="0"/>
          <w:sz w:val="36"/>
        </w:rPr>
        <w:t>30.07.16 Order Dismissing Rejection of Plaint Application</w:t>
      </w:r>
    </w:p>
    <w:p>
      <w:pPr>
        <w:jc w:val="center"/>
      </w:pPr>
      <w:r>
        <w:rPr>
          <w:rFonts w:ascii="Times New Roman" w:hAnsi="Times New Roman" w:eastAsia="Times New Roman"/>
          <w:b w:val="0"/>
          <w:i/>
          <w:sz w:val="24"/>
        </w:rPr>
        <w:t>Mr. Vikram Shah v. Mrs. Riva Trindade &amp; Ors.</w:t>
      </w:r>
    </w:p>
    <w:p>
      <w:pPr>
        <w:jc w:val="center"/>
      </w:pPr>
      <w:r>
        <w:rPr>
          <w:rFonts w:ascii="Times New Roman" w:hAnsi="Times New Roman" w:eastAsia="Times New Roman"/>
          <w:b w:val="0"/>
          <w:i/>
          <w:color w:val="8B2E2E"/>
          <w:sz w:val="22"/>
        </w:rPr>
        <w:t>This archive restates a party's papers under the Arbitration and Conciliation Act, 1996 and related Goa civil proceedings. It is not an award, not legal advice, and not a determination of fact.</w:t>
      </w:r>
    </w:p>
    <w:p>
      <w:r>
        <w:br w:type="page"/>
      </w:r>
    </w:p>
    <w:p>
      <w:r>
        <w:rPr>
          <w:rFonts w:ascii="Times New Roman" w:hAnsi="Times New Roman" w:eastAsia="Times New Roman"/>
          <w:b/>
          <w:i w:val="0"/>
          <w:color w:val="8B2E2E"/>
          <w:sz w:val="32"/>
        </w:rPr>
        <w:t>30.07.16 Order Dismissing Rejection of Plaint Application</w:t>
      </w:r>
    </w:p>
    <w:p>
      <w:r>
        <w:rPr>
          <w:rFonts w:ascii="Times New Roman" w:hAnsi="Times New Roman" w:eastAsia="Times New Roman"/>
          <w:b w:val="0"/>
          <w:i w:val="0"/>
          <w:sz w:val="22"/>
        </w:rPr>
        <w:t xml:space="preserve">Case: Mr. Vikram Shah v. Mrs. Riva Trindade &amp; Ors.  </w:t>
      </w:r>
    </w:p>
    <w:p>
      <w:r>
        <w:rPr>
          <w:rFonts w:ascii="Times New Roman" w:hAnsi="Times New Roman" w:eastAsia="Times New Roman"/>
          <w:b w:val="0"/>
          <w:i w:val="0"/>
          <w:sz w:val="22"/>
        </w:rPr>
        <w:t xml:space="preserve">Forum: Hon'ble Sole Arbitrator, Mr. Nitin N. Sardesai, Senior Advocate  </w:t>
      </w:r>
    </w:p>
    <w:p>
      <w:r>
        <w:rPr>
          <w:rFonts w:ascii="Times New Roman" w:hAnsi="Times New Roman" w:eastAsia="Times New Roman"/>
          <w:b w:val="0"/>
          <w:i w:val="0"/>
          <w:sz w:val="22"/>
        </w:rPr>
        <w:t xml:space="preserve">Document: 30.07.16 Order Dismissing Rejection of Plaint Application  </w:t>
      </w:r>
    </w:p>
    <w:p>
      <w:r>
        <w:rPr>
          <w:rFonts w:ascii="Times New Roman" w:hAnsi="Times New Roman" w:eastAsia="Times New Roman"/>
          <w:b w:val="0"/>
          <w:i w:val="0"/>
          <w:sz w:val="22"/>
        </w:rPr>
        <w:t xml:space="preserve">Kind: order  </w:t>
      </w:r>
    </w:p>
    <w:p>
      <w:r>
        <w:rPr>
          <w:rFonts w:ascii="Times New Roman" w:hAnsi="Times New Roman" w:eastAsia="Times New Roman"/>
          <w:b w:val="0"/>
          <w:i w:val="0"/>
          <w:sz w:val="22"/>
        </w:rPr>
        <w:t xml:space="preserve">Pages: 17  </w:t>
      </w:r>
    </w:p>
    <w:p>
      <w:r>
        <w:rPr>
          <w:rFonts w:ascii="Times New Roman" w:hAnsi="Times New Roman" w:eastAsia="Times New Roman"/>
          <w:b w:val="0"/>
          <w:i w:val="0"/>
          <w:sz w:val="22"/>
        </w:rPr>
        <w:t xml:space="preserve">Source file: Civil Suit/30.07.16 Order Dismissing Rejection of Plaint Application.pdf  </w:t>
      </w:r>
    </w:p>
    <w:p>
      <w:r>
        <w:rPr>
          <w:rFonts w:ascii="Times New Roman" w:hAnsi="Times New Roman" w:eastAsia="Times New Roman"/>
          <w:b w:val="0"/>
          <w:i w:val="0"/>
          <w:sz w:val="22"/>
        </w:rPr>
        <w:t>SHA-256: `11bfbdd868aead5da5b3d9144e5b943df87af8daffc1d10c56db3e06eafecf61`</w:t>
      </w:r>
    </w:p>
    <w:p>
      <w:r>
        <w:rPr>
          <w:rFonts w:ascii="Times New Roman" w:hAnsi="Times New Roman" w:eastAsia="Times New Roman"/>
          <w:b w:val="0"/>
          <w:i/>
          <w:color w:val="8B2E2E"/>
          <w:sz w:val="22"/>
        </w:rPr>
        <w:t>This archive restates a party's papers under the Arbitration and Conciliation Act, 1996 and related Goa civil proceedings. It is not an award, not legal advice, and not a determination of fact.</w:t>
      </w:r>
    </w:p>
    <w:p>
      <w:r>
        <w:rPr>
          <w:rFonts w:ascii="Times New Roman" w:hAnsi="Times New Roman" w:eastAsia="Times New Roman"/>
          <w:b/>
          <w:i w:val="0"/>
          <w:color w:val="8B2E2E"/>
          <w:sz w:val="26"/>
        </w:rPr>
        <w:t>Contents</w:t>
      </w:r>
    </w:p>
    <w:tbl>
      <w:tblPr>
        <w:tblStyle w:val="TableGrid"/>
        <w:tblW w:type="auto" w:w="0"/>
        <w:tblLook w:firstColumn="1" w:firstRow="1" w:lastColumn="0" w:lastRow="0" w:noHBand="0" w:noVBand="1" w:val="04A0"/>
      </w:tblPr>
      <w:tblGrid>
        <w:gridCol w:w="3137"/>
        <w:gridCol w:w="3137"/>
        <w:gridCol w:w="3137"/>
      </w:tblGrid>
      <w:tr>
        <w:tc>
          <w:tcPr>
            <w:tcW w:type="dxa" w:w="3137"/>
            <w:shd w:fill="8B2E2E" w:val="clear"/>
          </w:tcPr>
          <w:p>
            <w:r>
              <w:rPr>
                <w:rFonts w:ascii="Times New Roman" w:hAnsi="Times New Roman" w:eastAsia="Times New Roman"/>
                <w:b/>
                <w:i w:val="0"/>
                <w:color w:val="FFFFFF"/>
                <w:sz w:val="20"/>
              </w:rPr>
              <w:t>No.</w:t>
            </w:r>
          </w:p>
        </w:tc>
        <w:tc>
          <w:tcPr>
            <w:tcW w:type="dxa" w:w="3137"/>
            <w:shd w:fill="8B2E2E" w:val="clear"/>
          </w:tcPr>
          <w:p>
            <w:r>
              <w:rPr>
                <w:rFonts w:ascii="Times New Roman" w:hAnsi="Times New Roman" w:eastAsia="Times New Roman"/>
                <w:b/>
                <w:i w:val="0"/>
                <w:color w:val="FFFFFF"/>
                <w:sz w:val="20"/>
              </w:rPr>
              <w:t>Section</w:t>
            </w:r>
          </w:p>
        </w:tc>
        <w:tc>
          <w:tcPr>
            <w:tcW w:type="dxa" w:w="3137"/>
            <w:shd w:fill="8B2E2E" w:val="clear"/>
          </w:tcPr>
          <w:p>
            <w:r>
              <w:rPr>
                <w:rFonts w:ascii="Times New Roman" w:hAnsi="Times New Roman" w:eastAsia="Times New Roman"/>
                <w:b/>
                <w:i w:val="0"/>
                <w:color w:val="FFFFFF"/>
                <w:sz w:val="20"/>
              </w:rPr>
              <w:t>PDF pages</w:t>
            </w:r>
          </w:p>
        </w:tc>
      </w:tr>
      <w:tr>
        <w:tc>
          <w:tcPr>
            <w:tcW w:type="dxa" w:w="3137"/>
            <w:shd w:fill="FFFFFF" w:val="clear"/>
          </w:tcPr>
          <w:p>
            <w:r>
              <w:rPr>
                <w:rFonts w:ascii="Times New Roman" w:hAnsi="Times New Roman" w:eastAsia="Times New Roman"/>
                <w:b w:val="0"/>
                <w:i w:val="0"/>
                <w:color w:val="1C1612"/>
                <w:sz w:val="20"/>
              </w:rPr>
              <w:t>1</w:t>
            </w:r>
          </w:p>
        </w:tc>
        <w:tc>
          <w:tcPr>
            <w:tcW w:type="dxa" w:w="3137"/>
            <w:shd w:fill="FFFFFF" w:val="clear"/>
          </w:tcPr>
          <w:p>
            <w:r>
              <w:rPr>
                <w:rFonts w:ascii="Times New Roman" w:hAnsi="Times New Roman" w:eastAsia="Times New Roman"/>
                <w:b w:val="0"/>
                <w:i w:val="0"/>
                <w:color w:val="1C1612"/>
                <w:sz w:val="20"/>
              </w:rPr>
              <w:t>30.07.16 Order Dismissing Rejection of Plaint Application</w:t>
            </w:r>
          </w:p>
        </w:tc>
        <w:tc>
          <w:tcPr>
            <w:tcW w:type="dxa" w:w="3137"/>
            <w:shd w:fill="FFFFFF" w:val="clear"/>
          </w:tcPr>
          <w:p>
            <w:r>
              <w:rPr>
                <w:rFonts w:ascii="Times New Roman" w:hAnsi="Times New Roman" w:eastAsia="Times New Roman"/>
                <w:b w:val="0"/>
                <w:i w:val="0"/>
                <w:color w:val="1C1612"/>
                <w:sz w:val="20"/>
              </w:rPr>
              <w:t>1-17</w:t>
            </w:r>
          </w:p>
        </w:tc>
      </w:tr>
    </w:tbl>
    <w:p>
      <w:r>
        <w:rPr>
          <w:rFonts w:ascii="Times New Roman" w:hAnsi="Times New Roman" w:eastAsia="Times New Roman"/>
          <w:b w:val="0"/>
          <w:i w:val="0"/>
          <w:sz w:val="22"/>
        </w:rPr>
        <w:t>&lt;!-- SECTION: full | PDF pages 1-17 --&gt;</w:t>
      </w:r>
    </w:p>
    <w:p>
      <w:r>
        <w:rPr>
          <w:rFonts w:ascii="Times New Roman" w:hAnsi="Times New Roman" w:eastAsia="Times New Roman"/>
          <w:b w:val="0"/>
          <w:i/>
          <w:color w:val="8B2E2E"/>
          <w:sz w:val="22"/>
        </w:rPr>
        <w:t>Clerk note: continuous OCR for a 17-page paper. Open Original scans for page boundaries. Figures are as printed.</w:t>
      </w:r>
    </w:p>
    <w:p>
      <w:r>
        <w:rPr>
          <w:rFonts w:ascii="Times New Roman" w:hAnsi="Times New Roman" w:eastAsia="Times New Roman"/>
          <w:b/>
          <w:i w:val="0"/>
          <w:color w:val="8B2E2E"/>
          <w:sz w:val="32"/>
        </w:rPr>
        <w:t>IN THE COURT OF THE SENIOR CIVIL JUDGE, "A" COURT,</w:t>
      </w:r>
    </w:p>
    <w:p>
      <w:r>
        <w:rPr>
          <w:rFonts w:ascii="Times New Roman" w:hAnsi="Times New Roman" w:eastAsia="Times New Roman"/>
          <w:b w:val="0"/>
          <w:i w:val="0"/>
          <w:sz w:val="22"/>
        </w:rPr>
        <w:t>PANAJI.</w:t>
      </w:r>
    </w:p>
    <w:p>
      <w:r>
        <w:rPr>
          <w:rFonts w:ascii="Times New Roman" w:hAnsi="Times New Roman" w:eastAsia="Times New Roman"/>
          <w:b/>
          <w:i w:val="0"/>
          <w:color w:val="8B2E2E"/>
          <w:sz w:val="32"/>
        </w:rPr>
        <w:t>(Before Pooja C. Kavlekar, Ad-hoc Senior Civil Judge, "A" Court,</w:t>
      </w:r>
    </w:p>
    <w:p>
      <w:r>
        <w:rPr>
          <w:rFonts w:ascii="Times New Roman" w:hAnsi="Times New Roman" w:eastAsia="Times New Roman"/>
          <w:b w:val="0"/>
          <w:i w:val="0"/>
          <w:sz w:val="22"/>
        </w:rPr>
        <w:t>Panaji.)</w:t>
      </w:r>
    </w:p>
    <w:p>
      <w:r>
        <w:rPr>
          <w:rFonts w:ascii="Times New Roman" w:hAnsi="Times New Roman" w:eastAsia="Times New Roman"/>
          <w:b w:val="0"/>
          <w:i w:val="0"/>
          <w:sz w:val="22"/>
        </w:rPr>
        <w:t>Special Civil Suit no.52/2013/A</w:t>
      </w:r>
    </w:p>
    <w:p>
      <w:r>
        <w:rPr>
          <w:rFonts w:ascii="Times New Roman" w:hAnsi="Times New Roman" w:eastAsia="Times New Roman"/>
          <w:b w:val="0"/>
          <w:i w:val="0"/>
          <w:sz w:val="22"/>
        </w:rPr>
        <w:t>Communidade of Bambolim,</w:t>
      </w:r>
    </w:p>
    <w:p>
      <w:r>
        <w:rPr>
          <w:rFonts w:ascii="Times New Roman" w:hAnsi="Times New Roman" w:eastAsia="Times New Roman"/>
          <w:b w:val="0"/>
          <w:i w:val="0"/>
          <w:sz w:val="22"/>
        </w:rPr>
        <w:t>A body constituted and functioning under</w:t>
      </w:r>
    </w:p>
    <w:p>
      <w:r>
        <w:rPr>
          <w:rFonts w:ascii="Times New Roman" w:hAnsi="Times New Roman" w:eastAsia="Times New Roman"/>
          <w:b w:val="0"/>
          <w:i w:val="0"/>
          <w:sz w:val="22"/>
        </w:rPr>
        <w:t>The Code of Communidades 1961,</w:t>
      </w:r>
    </w:p>
    <w:p>
      <w:r>
        <w:rPr>
          <w:rFonts w:ascii="Times New Roman" w:hAnsi="Times New Roman" w:eastAsia="Times New Roman"/>
          <w:b w:val="0"/>
          <w:i w:val="0"/>
          <w:sz w:val="22"/>
        </w:rPr>
        <w:t>Represented therein by their duly elected</w:t>
      </w:r>
    </w:p>
    <w:p>
      <w:r>
        <w:rPr>
          <w:rFonts w:ascii="Times New Roman" w:hAnsi="Times New Roman" w:eastAsia="Times New Roman"/>
          <w:b w:val="0"/>
          <w:i w:val="0"/>
          <w:sz w:val="22"/>
        </w:rPr>
        <w:t>Attorney, having their office at</w:t>
      </w:r>
    </w:p>
    <w:p>
      <w:r>
        <w:rPr>
          <w:rFonts w:ascii="Times New Roman" w:hAnsi="Times New Roman" w:eastAsia="Times New Roman"/>
          <w:b w:val="0"/>
          <w:i w:val="0"/>
          <w:sz w:val="22"/>
        </w:rPr>
        <w:t>Bambolim Church road,</w:t>
      </w:r>
    </w:p>
    <w:p>
      <w:r>
        <w:rPr>
          <w:rFonts w:ascii="Times New Roman" w:hAnsi="Times New Roman" w:eastAsia="Times New Roman"/>
          <w:b w:val="0"/>
          <w:i w:val="0"/>
          <w:sz w:val="22"/>
        </w:rPr>
        <w:t>P.O. GMC Complex,</w:t>
      </w:r>
    </w:p>
    <w:p>
      <w:r>
        <w:rPr>
          <w:rFonts w:ascii="Times New Roman" w:hAnsi="Times New Roman" w:eastAsia="Times New Roman"/>
          <w:b w:val="0"/>
          <w:i w:val="0"/>
          <w:sz w:val="22"/>
        </w:rPr>
        <w:t>Bambolim, Ilhas Goa. – 403202</w:t>
      </w:r>
    </w:p>
    <w:p>
      <w:r>
        <w:rPr>
          <w:rFonts w:ascii="Times New Roman" w:hAnsi="Times New Roman" w:eastAsia="Times New Roman"/>
          <w:b w:val="0"/>
          <w:i w:val="0"/>
          <w:sz w:val="22"/>
        </w:rPr>
        <w:t>... Plaintiff</w:t>
      </w:r>
    </w:p>
    <w:p>
      <w:r>
        <w:rPr>
          <w:rFonts w:ascii="Times New Roman" w:hAnsi="Times New Roman" w:eastAsia="Times New Roman"/>
          <w:b/>
          <w:i w:val="0"/>
          <w:color w:val="8B2E2E"/>
          <w:sz w:val="26"/>
        </w:rPr>
        <w:t>Versus</w:t>
      </w:r>
    </w:p>
    <w:p>
      <w:r>
        <w:rPr>
          <w:rFonts w:ascii="Times New Roman" w:hAnsi="Times New Roman" w:eastAsia="Times New Roman"/>
          <w:b w:val="0"/>
          <w:i w:val="0"/>
          <w:sz w:val="22"/>
        </w:rPr>
        <w:t>1. Mr. FPascoal Trinidade,</w:t>
      </w:r>
    </w:p>
    <w:p>
      <w:r>
        <w:rPr>
          <w:rFonts w:ascii="Times New Roman" w:hAnsi="Times New Roman" w:eastAsia="Times New Roman"/>
          <w:b w:val="0"/>
          <w:i w:val="0"/>
          <w:sz w:val="22"/>
        </w:rPr>
        <w:t>Major in age, businessman,</w:t>
      </w:r>
    </w:p>
    <w:p>
      <w:r>
        <w:rPr>
          <w:rFonts w:ascii="Times New Roman" w:hAnsi="Times New Roman" w:eastAsia="Times New Roman"/>
          <w:b w:val="0"/>
          <w:i w:val="0"/>
          <w:sz w:val="22"/>
        </w:rPr>
        <w:t>r/o Palbrika Mansion,</w:t>
      </w:r>
    </w:p>
    <w:p>
      <w:r>
        <w:rPr>
          <w:rFonts w:ascii="Times New Roman" w:hAnsi="Times New Roman" w:eastAsia="Times New Roman"/>
          <w:b w:val="0"/>
          <w:i w:val="0"/>
          <w:sz w:val="22"/>
        </w:rPr>
        <w:t>Near Our Lady of Rosary High School</w:t>
      </w:r>
    </w:p>
    <w:p>
      <w:r>
        <w:rPr>
          <w:rFonts w:ascii="Times New Roman" w:hAnsi="Times New Roman" w:eastAsia="Times New Roman"/>
          <w:b w:val="0"/>
          <w:i w:val="0"/>
          <w:sz w:val="22"/>
        </w:rPr>
        <w:t>Dona Paula, Tiswadi, Goa.</w:t>
      </w:r>
    </w:p>
    <w:p>
      <w:r>
        <w:rPr>
          <w:rFonts w:ascii="Times New Roman" w:hAnsi="Times New Roman" w:eastAsia="Times New Roman"/>
          <w:b w:val="0"/>
          <w:i w:val="0"/>
          <w:sz w:val="22"/>
        </w:rPr>
        <w:t>2. Mrs. Albertina Trinidade,</w:t>
      </w:r>
    </w:p>
    <w:p>
      <w:r>
        <w:rPr>
          <w:rFonts w:ascii="Times New Roman" w:hAnsi="Times New Roman" w:eastAsia="Times New Roman"/>
          <w:b w:val="0"/>
          <w:i w:val="0"/>
          <w:sz w:val="22"/>
        </w:rPr>
        <w:t>Wife of Pascoal Trinidade,</w:t>
      </w:r>
    </w:p>
    <w:p>
      <w:r>
        <w:rPr>
          <w:rFonts w:ascii="Times New Roman" w:hAnsi="Times New Roman" w:eastAsia="Times New Roman"/>
          <w:b w:val="0"/>
          <w:i w:val="0"/>
          <w:sz w:val="22"/>
        </w:rPr>
        <w:t>Housewife,</w:t>
      </w:r>
    </w:p>
    <w:p>
      <w:r>
        <w:rPr>
          <w:rFonts w:ascii="Times New Roman" w:hAnsi="Times New Roman" w:eastAsia="Times New Roman"/>
          <w:b w:val="0"/>
          <w:i w:val="0"/>
          <w:sz w:val="22"/>
        </w:rPr>
        <w:t>r/o Palbrika Mansion,</w:t>
      </w:r>
    </w:p>
    <w:p>
      <w:r>
        <w:rPr>
          <w:rFonts w:ascii="Times New Roman" w:hAnsi="Times New Roman" w:eastAsia="Times New Roman"/>
          <w:b w:val="0"/>
          <w:i w:val="0"/>
          <w:sz w:val="22"/>
        </w:rPr>
        <w:t>Near Our Lady of Rosary High School</w:t>
      </w:r>
    </w:p>
    <w:p>
      <w:r>
        <w:rPr>
          <w:rFonts w:ascii="Times New Roman" w:hAnsi="Times New Roman" w:eastAsia="Times New Roman"/>
          <w:b w:val="0"/>
          <w:i w:val="0"/>
          <w:sz w:val="22"/>
        </w:rPr>
        <w:t>Dona Paula, Tiswadi, Goa.</w:t>
      </w:r>
    </w:p>
    <w:p>
      <w:r>
        <w:rPr>
          <w:rFonts w:ascii="Times New Roman" w:hAnsi="Times New Roman" w:eastAsia="Times New Roman"/>
          <w:b w:val="0"/>
          <w:i w:val="0"/>
          <w:sz w:val="22"/>
        </w:rPr>
        <w:t>SCS.52/2013/A</w:t>
      </w:r>
    </w:p>
    <w:p/>
    <w:p>
      <w:r>
        <w:rPr>
          <w:rFonts w:ascii="Times New Roman" w:hAnsi="Times New Roman" w:eastAsia="Times New Roman"/>
          <w:b w:val="0"/>
          <w:i w:val="0"/>
          <w:sz w:val="22"/>
        </w:rPr>
        <w:t>3. Mrs. Dionisia Dias e Mergulhao,</w:t>
      </w:r>
    </w:p>
    <w:p>
      <w:r>
        <w:rPr>
          <w:rFonts w:ascii="Times New Roman" w:hAnsi="Times New Roman" w:eastAsia="Times New Roman"/>
          <w:b w:val="0"/>
          <w:i w:val="0"/>
          <w:sz w:val="22"/>
        </w:rPr>
        <w:t>w/o late Maximo Mergulao,</w:t>
      </w:r>
    </w:p>
    <w:p>
      <w:r>
        <w:rPr>
          <w:rFonts w:ascii="Times New Roman" w:hAnsi="Times New Roman" w:eastAsia="Times New Roman"/>
          <w:b w:val="0"/>
          <w:i w:val="0"/>
          <w:sz w:val="22"/>
        </w:rPr>
        <w:t>housewife, Model Residency,</w:t>
      </w:r>
    </w:p>
    <w:p>
      <w:r>
        <w:rPr>
          <w:rFonts w:ascii="Times New Roman" w:hAnsi="Times New Roman" w:eastAsia="Times New Roman"/>
          <w:b w:val="0"/>
          <w:i w:val="0"/>
          <w:sz w:val="22"/>
        </w:rPr>
        <w:t>first floor, St Inez, Panaij,</w:t>
      </w:r>
    </w:p>
    <w:p>
      <w:r>
        <w:rPr>
          <w:rFonts w:ascii="Times New Roman" w:hAnsi="Times New Roman" w:eastAsia="Times New Roman"/>
          <w:b w:val="0"/>
          <w:i w:val="0"/>
          <w:sz w:val="22"/>
        </w:rPr>
        <w:t>Tiswadi, Goa.</w:t>
      </w:r>
    </w:p>
    <w:p>
      <w:r>
        <w:rPr>
          <w:rFonts w:ascii="Times New Roman" w:hAnsi="Times New Roman" w:eastAsia="Times New Roman"/>
          <w:b w:val="0"/>
          <w:i w:val="0"/>
          <w:sz w:val="22"/>
        </w:rPr>
        <w:t>4. M/s Raghurai Tamba,</w:t>
      </w:r>
    </w:p>
    <w:p>
      <w:r>
        <w:rPr>
          <w:rFonts w:ascii="Times New Roman" w:hAnsi="Times New Roman" w:eastAsia="Times New Roman"/>
          <w:b w:val="0"/>
          <w:i w:val="0"/>
          <w:sz w:val="22"/>
        </w:rPr>
        <w:t>A registered partnership firm,</w:t>
      </w:r>
    </w:p>
    <w:p>
      <w:r>
        <w:rPr>
          <w:rFonts w:ascii="Times New Roman" w:hAnsi="Times New Roman" w:eastAsia="Times New Roman"/>
          <w:b w:val="0"/>
          <w:i w:val="0"/>
          <w:sz w:val="22"/>
        </w:rPr>
        <w:t>Through its partner</w:t>
      </w:r>
    </w:p>
    <w:p>
      <w:r>
        <w:rPr>
          <w:rFonts w:ascii="Times New Roman" w:hAnsi="Times New Roman" w:eastAsia="Times New Roman"/>
          <w:b w:val="0"/>
          <w:i w:val="0"/>
          <w:sz w:val="22"/>
        </w:rPr>
        <w:t>Shri Raghurai Tamba,</w:t>
      </w:r>
    </w:p>
    <w:p>
      <w:r>
        <w:rPr>
          <w:rFonts w:ascii="Times New Roman" w:hAnsi="Times New Roman" w:eastAsia="Times New Roman"/>
          <w:b w:val="0"/>
          <w:i w:val="0"/>
          <w:sz w:val="22"/>
        </w:rPr>
        <w:t>Major in age, having its office at</w:t>
      </w:r>
    </w:p>
    <w:p>
      <w:r>
        <w:rPr>
          <w:rFonts w:ascii="Times New Roman" w:hAnsi="Times New Roman" w:eastAsia="Times New Roman"/>
          <w:b w:val="0"/>
          <w:i w:val="0"/>
          <w:sz w:val="22"/>
        </w:rPr>
        <w:t>"Parimal" Altinho, Panaji-Goa.</w:t>
      </w:r>
    </w:p>
    <w:p>
      <w:r>
        <w:rPr>
          <w:rFonts w:ascii="Times New Roman" w:hAnsi="Times New Roman" w:eastAsia="Times New Roman"/>
          <w:b w:val="0"/>
          <w:i w:val="0"/>
          <w:sz w:val="22"/>
        </w:rPr>
        <w:t>5. Mr. Raghurai Tamba,</w:t>
      </w:r>
    </w:p>
    <w:p>
      <w:r>
        <w:rPr>
          <w:rFonts w:ascii="Times New Roman" w:hAnsi="Times New Roman" w:eastAsia="Times New Roman"/>
          <w:b w:val="0"/>
          <w:i w:val="0"/>
          <w:sz w:val="22"/>
        </w:rPr>
        <w:t>Major in age, businessman,</w:t>
      </w:r>
    </w:p>
    <w:p>
      <w:r>
        <w:rPr>
          <w:rFonts w:ascii="Times New Roman" w:hAnsi="Times New Roman" w:eastAsia="Times New Roman"/>
          <w:b w:val="0"/>
          <w:i w:val="0"/>
          <w:sz w:val="22"/>
        </w:rPr>
        <w:t>r/o "Parimal" Altinho,</w:t>
      </w:r>
    </w:p>
    <w:p>
      <w:r>
        <w:rPr>
          <w:rFonts w:ascii="Times New Roman" w:hAnsi="Times New Roman" w:eastAsia="Times New Roman"/>
          <w:b w:val="0"/>
          <w:i w:val="0"/>
          <w:sz w:val="22"/>
        </w:rPr>
        <w:t>Panaji, Goa.</w:t>
      </w:r>
    </w:p>
    <w:p>
      <w:r>
        <w:rPr>
          <w:rFonts w:ascii="Times New Roman" w:hAnsi="Times New Roman" w:eastAsia="Times New Roman"/>
          <w:b w:val="0"/>
          <w:i w:val="0"/>
          <w:sz w:val="22"/>
        </w:rPr>
        <w:t>6. Mr. Pundalik Cuncolkar,</w:t>
      </w:r>
    </w:p>
    <w:p>
      <w:r>
        <w:rPr>
          <w:rFonts w:ascii="Times New Roman" w:hAnsi="Times New Roman" w:eastAsia="Times New Roman"/>
          <w:b w:val="0"/>
          <w:i w:val="0"/>
          <w:sz w:val="22"/>
        </w:rPr>
        <w:t>Son of late Parshuram Cuncolkar,</w:t>
      </w:r>
    </w:p>
    <w:p>
      <w:r>
        <w:rPr>
          <w:rFonts w:ascii="Times New Roman" w:hAnsi="Times New Roman" w:eastAsia="Times New Roman"/>
          <w:b w:val="0"/>
          <w:i w:val="0"/>
          <w:sz w:val="22"/>
        </w:rPr>
        <w:t>Major married, service and his wife,</w:t>
      </w:r>
    </w:p>
    <w:p>
      <w:r>
        <w:rPr>
          <w:rFonts w:ascii="Times New Roman" w:hAnsi="Times New Roman" w:eastAsia="Times New Roman"/>
          <w:b w:val="0"/>
          <w:i w:val="0"/>
          <w:sz w:val="22"/>
        </w:rPr>
        <w:t>7. Mrs. Sumati Pundalik Cuncolkar,</w:t>
      </w:r>
    </w:p>
    <w:p>
      <w:r>
        <w:rPr>
          <w:rFonts w:ascii="Times New Roman" w:hAnsi="Times New Roman" w:eastAsia="Times New Roman"/>
          <w:b w:val="0"/>
          <w:i w:val="0"/>
          <w:sz w:val="22"/>
        </w:rPr>
        <w:t>Major, service,</w:t>
      </w:r>
    </w:p>
    <w:p>
      <w:r>
        <w:rPr>
          <w:rFonts w:ascii="Times New Roman" w:hAnsi="Times New Roman" w:eastAsia="Times New Roman"/>
          <w:b w:val="0"/>
          <w:i w:val="0"/>
          <w:sz w:val="22"/>
        </w:rPr>
        <w:t>Both r/o H.No. not known,</w:t>
      </w:r>
    </w:p>
    <w:p>
      <w:r>
        <w:rPr>
          <w:rFonts w:ascii="Times New Roman" w:hAnsi="Times New Roman" w:eastAsia="Times New Roman"/>
          <w:b w:val="0"/>
          <w:i w:val="0"/>
          <w:sz w:val="22"/>
        </w:rPr>
        <w:t>Palem, Siridao, Tiswadi, Goa.</w:t>
      </w:r>
    </w:p>
    <w:p>
      <w:r>
        <w:rPr>
          <w:rFonts w:ascii="Times New Roman" w:hAnsi="Times New Roman" w:eastAsia="Times New Roman"/>
          <w:b w:val="0"/>
          <w:i w:val="0"/>
          <w:sz w:val="22"/>
        </w:rPr>
        <w:t>8. Mrs. Ganga alias Shobha Vasudev Narvekar,</w:t>
      </w:r>
    </w:p>
    <w:p>
      <w:r>
        <w:rPr>
          <w:rFonts w:ascii="Times New Roman" w:hAnsi="Times New Roman" w:eastAsia="Times New Roman"/>
          <w:b w:val="0"/>
          <w:i w:val="0"/>
          <w:sz w:val="22"/>
        </w:rPr>
        <w:t>w/o late Vasudev Narvekar,</w:t>
      </w:r>
    </w:p>
    <w:p>
      <w:r>
        <w:rPr>
          <w:rFonts w:ascii="Times New Roman" w:hAnsi="Times New Roman" w:eastAsia="Times New Roman"/>
          <w:b w:val="0"/>
          <w:i w:val="0"/>
          <w:sz w:val="22"/>
        </w:rPr>
        <w:t>major, daughter of late Parshuram Cuncolkar,</w:t>
      </w:r>
    </w:p>
    <w:p>
      <w:r>
        <w:rPr>
          <w:rFonts w:ascii="Times New Roman" w:hAnsi="Times New Roman" w:eastAsia="Times New Roman"/>
          <w:b w:val="0"/>
          <w:i w:val="0"/>
          <w:sz w:val="22"/>
        </w:rPr>
        <w:t>major, housewife.</w:t>
      </w:r>
    </w:p>
    <w:p>
      <w:r>
        <w:rPr>
          <w:rFonts w:ascii="Times New Roman" w:hAnsi="Times New Roman" w:eastAsia="Times New Roman"/>
          <w:b w:val="0"/>
          <w:i w:val="0"/>
          <w:sz w:val="22"/>
        </w:rPr>
        <w:t>9. Ms. Mamtha Vadusev Narvekar,</w:t>
      </w:r>
    </w:p>
    <w:p>
      <w:r>
        <w:rPr>
          <w:rFonts w:ascii="Times New Roman" w:hAnsi="Times New Roman" w:eastAsia="Times New Roman"/>
          <w:b w:val="0"/>
          <w:i w:val="0"/>
          <w:sz w:val="22"/>
        </w:rPr>
        <w:t>Daughter of late Vasudev Narvekar,</w:t>
      </w:r>
    </w:p>
    <w:p>
      <w:r>
        <w:rPr>
          <w:rFonts w:ascii="Times New Roman" w:hAnsi="Times New Roman" w:eastAsia="Times New Roman"/>
          <w:b w:val="0"/>
          <w:i w:val="0"/>
          <w:sz w:val="22"/>
        </w:rPr>
        <w:t>Major, unmarried, service,</w:t>
      </w:r>
    </w:p>
    <w:p>
      <w:r>
        <w:rPr>
          <w:rFonts w:ascii="Times New Roman" w:hAnsi="Times New Roman" w:eastAsia="Times New Roman"/>
          <w:b w:val="0"/>
          <w:i w:val="0"/>
          <w:sz w:val="22"/>
        </w:rPr>
        <w:t>Both r/o H.No. not known,</w:t>
      </w:r>
    </w:p>
    <w:p>
      <w:r>
        <w:rPr>
          <w:rFonts w:ascii="Times New Roman" w:hAnsi="Times New Roman" w:eastAsia="Times New Roman"/>
          <w:b w:val="0"/>
          <w:i w:val="0"/>
          <w:sz w:val="22"/>
        </w:rPr>
        <w:t>Goa Velha, Tiswadi – Goa.</w:t>
      </w:r>
    </w:p>
    <w:p>
      <w:r>
        <w:rPr>
          <w:rFonts w:ascii="Times New Roman" w:hAnsi="Times New Roman" w:eastAsia="Times New Roman"/>
          <w:b w:val="0"/>
          <w:i w:val="0"/>
          <w:sz w:val="22"/>
        </w:rPr>
        <w:t>10. Mrs. Kensar Manuel Pereira alias Kunkolikar,</w:t>
      </w:r>
    </w:p>
    <w:p>
      <w:r>
        <w:rPr>
          <w:rFonts w:ascii="Times New Roman" w:hAnsi="Times New Roman" w:eastAsia="Times New Roman"/>
          <w:b w:val="0"/>
          <w:i w:val="0"/>
          <w:sz w:val="22"/>
        </w:rPr>
        <w:t>Wife of Manuel Pereira,</w:t>
      </w:r>
    </w:p>
    <w:p>
      <w:r>
        <w:rPr>
          <w:rFonts w:ascii="Times New Roman" w:hAnsi="Times New Roman" w:eastAsia="Times New Roman"/>
          <w:b w:val="0"/>
          <w:i w:val="0"/>
          <w:sz w:val="22"/>
        </w:rPr>
        <w:t>Daughter of late Parshuram Cuncolkar,</w:t>
      </w:r>
    </w:p>
    <w:p>
      <w:r>
        <w:rPr>
          <w:rFonts w:ascii="Times New Roman" w:hAnsi="Times New Roman" w:eastAsia="Times New Roman"/>
          <w:b w:val="0"/>
          <w:i w:val="0"/>
          <w:sz w:val="22"/>
        </w:rPr>
        <w:t>Major, married, housewife,</w:t>
      </w:r>
    </w:p>
    <w:p>
      <w:r>
        <w:rPr>
          <w:rFonts w:ascii="Times New Roman" w:hAnsi="Times New Roman" w:eastAsia="Times New Roman"/>
          <w:b w:val="0"/>
          <w:i w:val="0"/>
          <w:sz w:val="22"/>
        </w:rPr>
        <w:t>11. Mr. Manuel Pereira,</w:t>
      </w:r>
    </w:p>
    <w:p>
      <w:r>
        <w:rPr>
          <w:rFonts w:ascii="Times New Roman" w:hAnsi="Times New Roman" w:eastAsia="Times New Roman"/>
          <w:b w:val="0"/>
          <w:i w:val="0"/>
          <w:sz w:val="22"/>
        </w:rPr>
        <w:t>s/o late Joaquim Pereira,</w:t>
      </w:r>
    </w:p>
    <w:p>
      <w:r>
        <w:rPr>
          <w:rFonts w:ascii="Times New Roman" w:hAnsi="Times New Roman" w:eastAsia="Times New Roman"/>
          <w:b w:val="0"/>
          <w:i w:val="0"/>
          <w:sz w:val="22"/>
        </w:rPr>
        <w:t>major in age, married, service,</w:t>
      </w:r>
    </w:p>
    <w:p>
      <w:r>
        <w:rPr>
          <w:rFonts w:ascii="Times New Roman" w:hAnsi="Times New Roman" w:eastAsia="Times New Roman"/>
          <w:b w:val="0"/>
          <w:i w:val="0"/>
          <w:sz w:val="22"/>
        </w:rPr>
        <w:t>both r/o H.No. not known,</w:t>
      </w:r>
    </w:p>
    <w:p>
      <w:r>
        <w:rPr>
          <w:rFonts w:ascii="Times New Roman" w:hAnsi="Times New Roman" w:eastAsia="Times New Roman"/>
          <w:b w:val="0"/>
          <w:i w:val="0"/>
          <w:sz w:val="22"/>
        </w:rPr>
        <w:t>Cacra, St. Cruz, Ilhas – Goa.</w:t>
      </w:r>
    </w:p>
    <w:p/>
    <w:p>
      <w:r>
        <w:rPr>
          <w:rFonts w:ascii="Times New Roman" w:hAnsi="Times New Roman" w:eastAsia="Times New Roman"/>
          <w:b w:val="0"/>
          <w:i w:val="0"/>
          <w:sz w:val="22"/>
        </w:rPr>
        <w:t>12. Mrs. Rukmini Bhikaro Gauns Gomes, w/o late Bhikaro Gauns alias Gomes, major, r/o H.No. not known, Modlowado, Siridao, Palem, Tiswadi, Goa.</w:t>
      </w:r>
    </w:p>
    <w:p>
      <w:r>
        <w:rPr>
          <w:rFonts w:ascii="Times New Roman" w:hAnsi="Times New Roman" w:eastAsia="Times New Roman"/>
          <w:b w:val="0"/>
          <w:i w:val="0"/>
          <w:sz w:val="22"/>
        </w:rPr>
        <w:t>13. Mrs. Geeta Prakash Narvekar, w/o Prakash Narvekar, d/o late Bhikaro Gauns alias Gomes, major,</w:t>
      </w:r>
    </w:p>
    <w:p>
      <w:r>
        <w:rPr>
          <w:rFonts w:ascii="Times New Roman" w:hAnsi="Times New Roman" w:eastAsia="Times New Roman"/>
          <w:b w:val="0"/>
          <w:i w:val="0"/>
          <w:sz w:val="22"/>
        </w:rPr>
        <w:t>14. Mr. Prakash Narvekar, Major in age, married, Government servant, Indian National Both r/o H.No. not known, Taleigao, Tiswadi-Goa.</w:t>
      </w:r>
    </w:p>
    <w:p>
      <w:r>
        <w:rPr>
          <w:rFonts w:ascii="Times New Roman" w:hAnsi="Times New Roman" w:eastAsia="Times New Roman"/>
          <w:b w:val="0"/>
          <w:i w:val="0"/>
          <w:sz w:val="22"/>
        </w:rPr>
        <w:t>15. Mrs. Chandrika Bhikaro Gauns Alias Gomes alias Lotlikar, d/o late Bhikaro Gauns alias Gomes, major, r/o H.No.not known, Modlowado, Siridao, Palem, Tiswadi, Goa.</w:t>
      </w:r>
    </w:p>
    <w:p>
      <w:r>
        <w:rPr>
          <w:rFonts w:ascii="Times New Roman" w:hAnsi="Times New Roman" w:eastAsia="Times New Roman"/>
          <w:b w:val="0"/>
          <w:i w:val="0"/>
          <w:sz w:val="22"/>
        </w:rPr>
        <w:t>16. Mr. Madhu Cuncolkar alias Canconkar, s/o Laximan Cuncolkar, major, service.</w:t>
      </w:r>
    </w:p>
    <w:p>
      <w:r>
        <w:rPr>
          <w:rFonts w:ascii="Times New Roman" w:hAnsi="Times New Roman" w:eastAsia="Times New Roman"/>
          <w:b w:val="0"/>
          <w:i w:val="0"/>
          <w:sz w:val="22"/>
        </w:rPr>
        <w:t>17. Mrs. Succorina Madhu Cuncolkar Alias Canconkar, alias Manisha Madhu Cuncolkar alias Canconkar, w/o Madhu cuncolkar alias Canconkar, major, housewife, both r/o H.No. not known, Modlowado, Siridao, Palem, Tiswadi, Goa.</w:t>
      </w:r>
    </w:p>
    <w:p>
      <w:r>
        <w:rPr>
          <w:rFonts w:ascii="Times New Roman" w:hAnsi="Times New Roman" w:eastAsia="Times New Roman"/>
          <w:b w:val="0"/>
          <w:i w:val="0"/>
          <w:sz w:val="22"/>
        </w:rPr>
        <w:t>18. Mr. Rama Gomes alias Lotlikar, s/o Sebastiao Gomes, major, Service.</w:t>
      </w:r>
    </w:p>
    <w:p>
      <w:r>
        <w:rPr>
          <w:rFonts w:ascii="Times New Roman" w:hAnsi="Times New Roman" w:eastAsia="Times New Roman"/>
          <w:b w:val="0"/>
          <w:i w:val="0"/>
          <w:sz w:val="22"/>
        </w:rPr>
        <w:t>19. Smt. Sita Rama Gomes alias Lotlikar, Housewife, both r/o H.No. not known, Palem, Siridao, Tiswadi, Goa. ... Respondents</w:t>
      </w:r>
    </w:p>
    <w:p>
      <w:r>
        <w:rPr>
          <w:rFonts w:ascii="Times New Roman" w:hAnsi="Times New Roman" w:eastAsia="Times New Roman"/>
          <w:b w:val="0"/>
          <w:i w:val="0"/>
          <w:sz w:val="22"/>
        </w:rPr>
        <w:t>Learned Adv. Shri P.A. Kamat for the Plaintiff.</w:t>
      </w:r>
    </w:p>
    <w:p>
      <w:r>
        <w:rPr>
          <w:rFonts w:ascii="Times New Roman" w:hAnsi="Times New Roman" w:eastAsia="Times New Roman"/>
          <w:b w:val="0"/>
          <w:i w:val="0"/>
          <w:sz w:val="22"/>
        </w:rPr>
        <w:t>Learned Shri R. Rao for the defendants.</w:t>
      </w:r>
    </w:p>
    <w:p/>
    <w:p>
      <w:r>
        <w:rPr>
          <w:rFonts w:ascii="Times New Roman" w:hAnsi="Times New Roman" w:eastAsia="Times New Roman"/>
          <w:b w:val="0"/>
          <w:i w:val="0"/>
          <w:sz w:val="22"/>
        </w:rPr>
        <w:t>ORDER</w:t>
      </w:r>
    </w:p>
    <w:p>
      <w:r>
        <w:rPr>
          <w:rFonts w:ascii="Times New Roman" w:hAnsi="Times New Roman" w:eastAsia="Times New Roman"/>
          <w:b w:val="0"/>
          <w:i w:val="0"/>
          <w:sz w:val="22"/>
        </w:rPr>
        <w:t>(Delivered on this 30th day of the month of July, of the year</w:t>
      </w:r>
    </w:p>
    <w:p>
      <w:r>
        <w:rPr>
          <w:rFonts w:ascii="Times New Roman" w:hAnsi="Times New Roman" w:eastAsia="Times New Roman"/>
          <w:b w:val="0"/>
          <w:i w:val="0"/>
          <w:sz w:val="22"/>
        </w:rPr>
        <w:t>2016.)</w:t>
      </w:r>
    </w:p>
    <w:p>
      <w:r>
        <w:rPr>
          <w:rFonts w:ascii="Times New Roman" w:hAnsi="Times New Roman" w:eastAsia="Times New Roman"/>
          <w:b w:val="0"/>
          <w:i w:val="0"/>
          <w:sz w:val="22"/>
        </w:rPr>
        <w:t>This order shall dispose of the application for rejection of</w:t>
      </w:r>
    </w:p>
    <w:p>
      <w:r>
        <w:rPr>
          <w:rFonts w:ascii="Times New Roman" w:hAnsi="Times New Roman" w:eastAsia="Times New Roman"/>
          <w:b w:val="0"/>
          <w:i w:val="0"/>
          <w:sz w:val="22"/>
        </w:rPr>
        <w:t>plaint filed by the defendants.</w:t>
      </w:r>
    </w:p>
    <w:p>
      <w:r>
        <w:rPr>
          <w:rFonts w:ascii="Times New Roman" w:hAnsi="Times New Roman" w:eastAsia="Times New Roman"/>
          <w:b w:val="0"/>
          <w:i w:val="0"/>
          <w:sz w:val="22"/>
        </w:rPr>
        <w:t>2. The case of the defendants is that the plaintiff has prayed</w:t>
      </w:r>
    </w:p>
    <w:p>
      <w:r>
        <w:rPr>
          <w:rFonts w:ascii="Times New Roman" w:hAnsi="Times New Roman" w:eastAsia="Times New Roman"/>
          <w:b w:val="0"/>
          <w:i w:val="0"/>
          <w:sz w:val="22"/>
        </w:rPr>
        <w:t>for a declaration of ownership in the present suit. The said claim is</w:t>
      </w:r>
    </w:p>
    <w:p>
      <w:r>
        <w:rPr>
          <w:rFonts w:ascii="Times New Roman" w:hAnsi="Times New Roman" w:eastAsia="Times New Roman"/>
          <w:b w:val="0"/>
          <w:i w:val="0"/>
          <w:sz w:val="22"/>
        </w:rPr>
        <w:t>barred by limitation as survey record were promulgated in the year</w:t>
      </w:r>
    </w:p>
    <w:p>
      <w:r>
        <w:rPr>
          <w:rFonts w:ascii="Times New Roman" w:hAnsi="Times New Roman" w:eastAsia="Times New Roman"/>
          <w:b w:val="0"/>
          <w:i w:val="0"/>
          <w:sz w:val="22"/>
        </w:rPr>
        <w:t>1978. It is further submitted that in terms of paragraph 25 of the</w:t>
      </w:r>
    </w:p>
    <w:p>
      <w:r>
        <w:rPr>
          <w:rFonts w:ascii="Times New Roman" w:hAnsi="Times New Roman" w:eastAsia="Times New Roman"/>
          <w:b w:val="0"/>
          <w:i w:val="0"/>
          <w:sz w:val="22"/>
        </w:rPr>
        <w:t>plaintiff the husband of defendant no.4 namely, Maximo Mergulhao on</w:t>
      </w:r>
    </w:p>
    <w:p>
      <w:r>
        <w:rPr>
          <w:rFonts w:ascii="Times New Roman" w:hAnsi="Times New Roman" w:eastAsia="Times New Roman"/>
          <w:b w:val="0"/>
          <w:i w:val="0"/>
          <w:sz w:val="22"/>
        </w:rPr>
        <w:t>27/6/1980, filed an intervention application in the proceedings viz,</w:t>
      </w:r>
    </w:p>
    <w:p>
      <w:r>
        <w:rPr>
          <w:rFonts w:ascii="Times New Roman" w:hAnsi="Times New Roman" w:eastAsia="Times New Roman"/>
          <w:b w:val="0"/>
          <w:i w:val="0"/>
          <w:sz w:val="22"/>
        </w:rPr>
        <w:t>case no. LS/CS/ENQ/11/1/80 pertaining to properties surveyed under</w:t>
      </w:r>
    </w:p>
    <w:p>
      <w:r>
        <w:rPr>
          <w:rFonts w:ascii="Times New Roman" w:hAnsi="Times New Roman" w:eastAsia="Times New Roman"/>
          <w:b w:val="0"/>
          <w:i w:val="0"/>
          <w:sz w:val="22"/>
        </w:rPr>
        <w:t>Survey nos. 93/2, 93/3 and 93/4 of village Bambolim, Taluka Tiswadi,</w:t>
      </w:r>
    </w:p>
    <w:p>
      <w:r>
        <w:rPr>
          <w:rFonts w:ascii="Times New Roman" w:hAnsi="Times New Roman" w:eastAsia="Times New Roman"/>
          <w:b w:val="0"/>
          <w:i w:val="0"/>
          <w:sz w:val="22"/>
        </w:rPr>
        <w:t>Goa, before the Court of the Inspector of Survey and Land Records. If</w:t>
      </w:r>
    </w:p>
    <w:p>
      <w:r>
        <w:rPr>
          <w:rFonts w:ascii="Times New Roman" w:hAnsi="Times New Roman" w:eastAsia="Times New Roman"/>
          <w:b w:val="0"/>
          <w:i w:val="0"/>
          <w:sz w:val="22"/>
        </w:rPr>
        <w:t>the aforesaid averment is to be believed, then the same constituted as</w:t>
      </w:r>
    </w:p>
    <w:p>
      <w:r>
        <w:rPr>
          <w:rFonts w:ascii="Times New Roman" w:hAnsi="Times New Roman" w:eastAsia="Times New Roman"/>
          <w:b w:val="0"/>
          <w:i w:val="0"/>
          <w:sz w:val="22"/>
        </w:rPr>
        <w:t>a cause of action for the plaintiff for the purpose of agitating its</w:t>
      </w:r>
    </w:p>
    <w:p>
      <w:r>
        <w:rPr>
          <w:rFonts w:ascii="Times New Roman" w:hAnsi="Times New Roman" w:eastAsia="Times New Roman"/>
          <w:b w:val="0"/>
          <w:i w:val="0"/>
          <w:sz w:val="22"/>
        </w:rPr>
        <w:t>alleged right to title in respect of the suit properties surveyed under</w:t>
      </w:r>
    </w:p>
    <w:p>
      <w:r>
        <w:rPr>
          <w:rFonts w:ascii="Times New Roman" w:hAnsi="Times New Roman" w:eastAsia="Times New Roman"/>
          <w:b w:val="0"/>
          <w:i w:val="0"/>
          <w:sz w:val="22"/>
        </w:rPr>
        <w:t>survey nos. 93/2, 93/3 and 93/4 of village Bambolim, Taluka Tiswadi,</w:t>
      </w:r>
    </w:p>
    <w:p>
      <w:r>
        <w:rPr>
          <w:rFonts w:ascii="Times New Roman" w:hAnsi="Times New Roman" w:eastAsia="Times New Roman"/>
          <w:b w:val="0"/>
          <w:i w:val="0"/>
          <w:sz w:val="22"/>
        </w:rPr>
        <w:t>Goa. The cause of action accrued unto the plaintiff on 27/6/1980.</w:t>
      </w:r>
    </w:p>
    <w:p>
      <w:r>
        <w:rPr>
          <w:rFonts w:ascii="Times New Roman" w:hAnsi="Times New Roman" w:eastAsia="Times New Roman"/>
          <w:b w:val="0"/>
          <w:i w:val="0"/>
          <w:sz w:val="22"/>
        </w:rPr>
        <w:t>Paragraph 25 of the suit plaint itself reveals and demonstrates that the</w:t>
      </w:r>
    </w:p>
    <w:p>
      <w:r>
        <w:rPr>
          <w:rFonts w:ascii="Times New Roman" w:hAnsi="Times New Roman" w:eastAsia="Times New Roman"/>
          <w:b w:val="0"/>
          <w:i w:val="0"/>
          <w:sz w:val="22"/>
        </w:rPr>
        <w:t>said Maximo Mergulhao in terms of his application for intervention</w:t>
      </w:r>
    </w:p>
    <w:p>
      <w:r>
        <w:rPr>
          <w:rFonts w:ascii="Times New Roman" w:hAnsi="Times New Roman" w:eastAsia="Times New Roman"/>
          <w:b w:val="0"/>
          <w:i w:val="0"/>
          <w:sz w:val="22"/>
        </w:rPr>
        <w:t>dated 27/6/1980 had staked a claim in respect of the properties</w:t>
      </w:r>
    </w:p>
    <w:p>
      <w:r>
        <w:rPr>
          <w:rFonts w:ascii="Times New Roman" w:hAnsi="Times New Roman" w:eastAsia="Times New Roman"/>
          <w:b w:val="0"/>
          <w:i w:val="0"/>
          <w:sz w:val="22"/>
        </w:rPr>
        <w:t>surveyed under survey nos. 93/2, 93/3 and 93/4 of village Bambolim and the plaintiff having been a party to the said proceedings viz. case no.LS/CS/ENQ/11/1/80 before the Court of the Inspector of Survey and Land Records, had full and complete knowledge of the same. The plaintiff ought to have agitated their right in respect of the suit properties and entitlement to the reliefs as prayed for in the present suit proceedings within the statutory period prescribed in terms of the law of limitation commencing from 27/6/1980. It is therefore, prayed that the plaint be rejected as the relief is barred by limitation.</w:t>
      </w:r>
    </w:p>
    <w:p>
      <w:r>
        <w:rPr>
          <w:rFonts w:ascii="Times New Roman" w:hAnsi="Times New Roman" w:eastAsia="Times New Roman"/>
          <w:b w:val="0"/>
          <w:i w:val="0"/>
          <w:sz w:val="22"/>
        </w:rPr>
        <w:t>5. The plaintiffs have filed their reply to the said application. It is their case that they have denied that the survey records of village Bambolim were promulgated in the year 1978. It is their case that the suit is filed on the basis of the title of the plaintiff and the fraud committed by the defendants which is clear from the order of the Administrator of Communidades. The decree in Spl. Civil Suit no.220/1994 itself has to become final as the application for recall of the said decree is pending. The defendants have not produced any title documents and hence, the provision of limitation is not applicable. The Hon’ble High Court has given liberty to the plaintiff to approach the Civil Court. The question of limitation is a mixed question of law and facts and, therefore, it is prayed that the application be dismissed.</w:t>
      </w:r>
    </w:p>
    <w:p>
      <w:r>
        <w:rPr>
          <w:rFonts w:ascii="Times New Roman" w:hAnsi="Times New Roman" w:eastAsia="Times New Roman"/>
          <w:b w:val="0"/>
          <w:i w:val="0"/>
          <w:sz w:val="22"/>
        </w:rPr>
        <w:t>6. Ld. Adv. Shri P.A. Kamat argued for the Plaintiff. Ld. Adv. Shri R. Rao argued for the defendants. I have heard arguments for and against and the points that arise for my determination and my findings and reasons thereof are as follows:</w:t>
      </w:r>
    </w:p>
    <w:p>
      <w:r>
        <w:rPr>
          <w:rFonts w:ascii="Times New Roman" w:hAnsi="Times New Roman" w:eastAsia="Times New Roman"/>
          <w:b/>
          <w:i w:val="0"/>
          <w:color w:val="8B2E2E"/>
          <w:sz w:val="26"/>
        </w:rPr>
        <w:t>Points for Determination</w:t>
      </w:r>
    </w:p>
    <w:p>
      <w:r>
        <w:rPr>
          <w:rFonts w:ascii="Times New Roman" w:hAnsi="Times New Roman" w:eastAsia="Times New Roman"/>
          <w:b w:val="0"/>
          <w:i w:val="0"/>
          <w:sz w:val="22"/>
        </w:rPr>
        <w:t>1. Whether the plaintiff is to be Rejected being barred by law?</w:t>
      </w:r>
    </w:p>
    <w:p>
      <w:r>
        <w:rPr>
          <w:rFonts w:ascii="Times New Roman" w:hAnsi="Times New Roman" w:eastAsia="Times New Roman"/>
          <w:b w:val="0"/>
          <w:i w:val="0"/>
          <w:sz w:val="22"/>
        </w:rPr>
        <w:t>FINDINGS</w:t>
      </w:r>
    </w:p>
    <w:p>
      <w:r>
        <w:rPr>
          <w:rFonts w:ascii="Times New Roman" w:hAnsi="Times New Roman" w:eastAsia="Times New Roman"/>
          <w:b w:val="0"/>
          <w:i w:val="0"/>
          <w:sz w:val="22"/>
        </w:rPr>
        <w:t>In the negative</w:t>
      </w:r>
    </w:p>
    <w:p>
      <w:r>
        <w:rPr>
          <w:rFonts w:ascii="Times New Roman" w:hAnsi="Times New Roman" w:eastAsia="Times New Roman"/>
          <w:b/>
          <w:i w:val="0"/>
          <w:color w:val="8B2E2E"/>
          <w:sz w:val="26"/>
        </w:rPr>
        <w:t>REASONS</w:t>
      </w:r>
    </w:p>
    <w:p>
      <w:r>
        <w:rPr>
          <w:rFonts w:ascii="Times New Roman" w:hAnsi="Times New Roman" w:eastAsia="Times New Roman"/>
          <w:b w:val="0"/>
          <w:i w:val="0"/>
          <w:sz w:val="22"/>
        </w:rPr>
        <w:t>7. Order 7 Rule 11 reads as under:</w:t>
      </w:r>
    </w:p>
    <w:p>
      <w:r>
        <w:rPr>
          <w:rFonts w:ascii="Times New Roman" w:hAnsi="Times New Roman" w:eastAsia="Times New Roman"/>
          <w:b w:val="0"/>
          <w:i w:val="0"/>
          <w:sz w:val="22"/>
        </w:rPr>
        <w:t>"11. Rejection of plaint. – The plaintiff shall be rejected in the following cases:-</w:t>
      </w:r>
    </w:p>
    <w:p>
      <w:r>
        <w:rPr>
          <w:rFonts w:ascii="Times New Roman" w:hAnsi="Times New Roman" w:eastAsia="Times New Roman"/>
          <w:b w:val="0"/>
          <w:i w:val="0"/>
          <w:sz w:val="22"/>
        </w:rPr>
        <w:t>(a) Where it does to disclose a cause of action;</w:t>
      </w:r>
    </w:p>
    <w:p>
      <w:r>
        <w:rPr>
          <w:rFonts w:ascii="Times New Roman" w:hAnsi="Times New Roman" w:eastAsia="Times New Roman"/>
          <w:b w:val="0"/>
          <w:i w:val="0"/>
          <w:sz w:val="22"/>
        </w:rPr>
        <w:t>(b) Where the relief claimed is undervalued, and the plaintiff, on being required by the Court to correct the valuation within a time to be fixed by the Court, fails to do so;</w:t>
      </w:r>
    </w:p>
    <w:p>
      <w:r>
        <w:rPr>
          <w:rFonts w:ascii="Times New Roman" w:hAnsi="Times New Roman" w:eastAsia="Times New Roman"/>
          <w:b w:val="0"/>
          <w:i w:val="0"/>
          <w:sz w:val="22"/>
        </w:rPr>
        <w:t>(c) Where the relief claimed is properly valued but the plaintiff is written upon paper insufficiently stamped, and the plaintiff, on being required by the Court to supply the requisite stamp-paper within a time to be fixed by the Court, fails to do so;</w:t>
      </w:r>
    </w:p>
    <w:p>
      <w:r>
        <w:rPr>
          <w:rFonts w:ascii="Times New Roman" w:hAnsi="Times New Roman" w:eastAsia="Times New Roman"/>
          <w:b w:val="0"/>
          <w:i w:val="0"/>
          <w:sz w:val="22"/>
        </w:rPr>
        <w:t>(d) Where the suit appears from the statement in the plaintiff to be barred by any law;</w:t>
      </w:r>
    </w:p>
    <w:p>
      <w:r>
        <w:rPr>
          <w:rFonts w:ascii="Times New Roman" w:hAnsi="Times New Roman" w:eastAsia="Times New Roman"/>
          <w:b w:val="0"/>
          <w:i w:val="0"/>
          <w:sz w:val="22"/>
        </w:rPr>
        <w:t>(e) Where it is not filed in duplicate;</w:t>
      </w:r>
    </w:p>
    <w:p/>
    <w:p>
      <w:r>
        <w:rPr>
          <w:rFonts w:ascii="Times New Roman" w:hAnsi="Times New Roman" w:eastAsia="Times New Roman"/>
          <w:b w:val="0"/>
          <w:i w:val="0"/>
          <w:sz w:val="22"/>
        </w:rPr>
        <w:t>(f) Where the plaintiff fails to comply with the provisions of rule 9:</w:t>
      </w:r>
    </w:p>
    <w:p>
      <w:r>
        <w:rPr>
          <w:rFonts w:ascii="Times New Roman" w:hAnsi="Times New Roman" w:eastAsia="Times New Roman"/>
          <w:b w:val="0"/>
          <w:i w:val="0"/>
          <w:sz w:val="22"/>
        </w:rPr>
        <w:t>8. The clause that is invoked in the present case is Order 7 Rule 11(d). The bar of law contemplated by O.7 Rule 11 also includes the Law of Limitation. If the relief appears to be barred by limitation, then the plaint can be rejected under Order 7 Rule 11 of C.P.C.</w:t>
      </w:r>
    </w:p>
    <w:p>
      <w:r>
        <w:rPr>
          <w:rFonts w:ascii="Times New Roman" w:hAnsi="Times New Roman" w:eastAsia="Times New Roman"/>
          <w:b w:val="0"/>
          <w:i w:val="0"/>
          <w:sz w:val="22"/>
        </w:rPr>
        <w:t>9. Ld. Counsel for the defendants has canvassed his arguments on the issue of limitation on three points. Firstly, that the suit is barred because as on the date of promulgation of survey records in the year 1985, the plaintiff were aware that their names did not appear in the survey records and the name of their predecessor in title i.e. defendant Maximo Mergulhao appeared. Secondly, it is further barred by limitation in view of the averments at para 25 and 29 of the plaint which makes reference to the Land Acquisition award which was within the knowledge of the plaintiffs. Thirdly, it is barred by limitation on account of the compromise decree which is referred to at para 34 and 35 of the plaint whereby the plaintiffs admitted that they do not have any right to the suit property. Hence, in the worst possible scenario if the year 1994 (i.e. the year of the suit) or the year 1998 (the year when the consent terms were filed) is construed, the suit based on title to be filed within a period of 12 years also becomes barred, as the present suit is filed in the year 2013.</w:t>
      </w:r>
    </w:p>
    <w:p/>
    <w:p>
      <w:r>
        <w:rPr>
          <w:rFonts w:ascii="Times New Roman" w:hAnsi="Times New Roman" w:eastAsia="Times New Roman"/>
          <w:b w:val="0"/>
          <w:i w:val="0"/>
          <w:sz w:val="22"/>
        </w:rPr>
        <w:t>10. Per contra, it is argued by the Ld. Counsel for the defendant that the cause of action to file the present suit is stated to be 29/3/2012 when the fraud committed by the defendants was discovered. All averments in the plaint are made to throw light on the fraud committed till the year 1998. It is stated by the plaintiffs that the suit which was filed in the year 1994 bearing no.222/1994 was decreed under the compromise of the parties by a compromise decree. However, it is the case of the present plaintiffs that the compromise decree was obtained by fraud and this fact was confirmed in any inquiry conducted by the Administrator of Communidades, the reference of which is made in paras 49 and 50 of the plaint. The Hon’ble High Court in Writ Petition no.102/2009 has categorically observed that the Administrator of Communidades has come to a conclusion that there is a fraud played to grab the plaintiff’s property and the communidade land and, therefore, the communidade should initiate proceedings. This order was passed on 3/3/2009. The plaintiff submits that after the passing of this order, the plaintiff filed Misc. Application no.6/2010 to revoke the compromise decree passed in SCS.222/1994. This petition is still pending. The cause of action to file the present suit has been the trespass alleged to have been committed on 29/3/2012. In the abovesaid Writ Petition, the Hon’ble High Court observed that the party should approach the Civil Court as the matter involves larger investigation. Those observations were made in Writ Petition no.102/2009 decided by the Hon’ble High Court on 29/3/2012.</w:t>
      </w:r>
    </w:p>
    <w:p/>
    <w:p>
      <w:r>
        <w:rPr>
          <w:rFonts w:ascii="Times New Roman" w:hAnsi="Times New Roman" w:eastAsia="Times New Roman"/>
          <w:b w:val="0"/>
          <w:i w:val="0"/>
          <w:sz w:val="22"/>
        </w:rPr>
        <w:t>11. As against this background, the prayers in the present suit will have to be examined. The present suit has been filed seeking the following reliefs:</w:t>
      </w:r>
    </w:p>
    <w:p>
      <w:r>
        <w:rPr>
          <w:rFonts w:ascii="Times New Roman" w:hAnsi="Times New Roman" w:eastAsia="Times New Roman"/>
          <w:b w:val="0"/>
          <w:i w:val="0"/>
          <w:sz w:val="22"/>
        </w:rPr>
        <w:t>a. To pass a Judgment and Decree declaring that the suit property admeasuring 97,590 sq. mts. is part of the property namely under survey no.93/2 of village Bambolim is part of the property of Lote no.43 ‘B’ called “OROS” ad lote o.47 “Saveli Gali” and the property under survey no.93/3 and 93/4 of village Bambolim is part of the property of the original property of the plaintiff under Lote No.49 called “Saveli Gali” and other property of the plaintiff in village Bambolim, Tiswadi Taluka of State of Goa and the plaintiff is owner of the said property.</w:t>
      </w:r>
    </w:p>
    <w:p>
      <w:r>
        <w:rPr>
          <w:rFonts w:ascii="Times New Roman" w:hAnsi="Times New Roman" w:eastAsia="Times New Roman"/>
          <w:b w:val="0"/>
          <w:i w:val="0"/>
          <w:sz w:val="22"/>
        </w:rPr>
        <w:t>b. To pass a Judgment and Decree declaring that the three sale deed dated 25/4/2006 registered under no.1238, 1239 and 1240 Book I Volume no.1634 dated 3/5/2006 in the office of the Sub Registrar of Ilhas at Panaji, Tiswadi – Goa executed between the defendant no.1, 3 and 4 in respect of the suit property under survey no.93/2, 93/3 and 93/4 of village Bambolim are illegal, null and void ab initio and the same may be ordered to be cancelled.</w:t>
      </w:r>
    </w:p>
    <w:p/>
    <w:p>
      <w:r>
        <w:rPr>
          <w:rFonts w:ascii="Times New Roman" w:hAnsi="Times New Roman" w:eastAsia="Times New Roman"/>
          <w:b w:val="0"/>
          <w:i w:val="0"/>
          <w:sz w:val="22"/>
        </w:rPr>
        <w:t>c. To pass a Judgment and Decree declaring that the inclusion of the name of the defendant no.1 in the Form I &amp; XIV of the property under survey no.93/2, 93/3 and 03/4 of village Bambolim is illegal and the name of the defendant no.1 may be ordered to be deleted and the plaintiff’s name may be ordered to be included in the survey records as owners/occupants of the suit property and the defendant no.1 to 5 have no right in the suit property.</w:t>
      </w:r>
    </w:p>
    <w:p>
      <w:r>
        <w:rPr>
          <w:rFonts w:ascii="Times New Roman" w:hAnsi="Times New Roman" w:eastAsia="Times New Roman"/>
          <w:b w:val="0"/>
          <w:i w:val="0"/>
          <w:sz w:val="22"/>
        </w:rPr>
        <w:t>d. To pass a Judgment and Decree declaring that decree in the compromise decree dated 25/1/2007 in Regular Civil Suit No.6/2007/A before Civil Judge, Senior Division at Panaji is without jurisdiction, illegal and void ab initio and is not binding on the plaintiff.</w:t>
      </w:r>
    </w:p>
    <w:p>
      <w:r>
        <w:rPr>
          <w:rFonts w:ascii="Times New Roman" w:hAnsi="Times New Roman" w:eastAsia="Times New Roman"/>
          <w:b w:val="0"/>
          <w:i w:val="0"/>
          <w:sz w:val="22"/>
        </w:rPr>
        <w:t>e. To pass a Judgment and Decree directing the defendants no.1 and 2 to hand over the vacant possession of the suit property under survey no.93/2, 93/3 and 93/4 of village Bambolim admeasuring 97,500 sq. mts. to the plaintiff.</w:t>
      </w:r>
    </w:p>
    <w:p>
      <w:r>
        <w:rPr>
          <w:rFonts w:ascii="Times New Roman" w:hAnsi="Times New Roman" w:eastAsia="Times New Roman"/>
          <w:b w:val="0"/>
          <w:i w:val="0"/>
          <w:sz w:val="22"/>
        </w:rPr>
        <w:t>f. To pass a Judgment and Decree declaring that the certificate dated 18/3/1904 allegedly issued by Clerk of Communidade and relied upon by defendant no.1 to 4 is not a title ownership document of the suit property Saveli Gali and Oros and does not confer any right of ownership in favour of the defendants 1 to 4 or any person claiming through them including the predecessors of defendant no.3 late Alexander Rodrigues, Maria Concesao Rodrigues.</w:t>
      </w:r>
    </w:p>
    <w:p>
      <w:r>
        <w:rPr>
          <w:rFonts w:ascii="Times New Roman" w:hAnsi="Times New Roman" w:eastAsia="Times New Roman"/>
          <w:b w:val="0"/>
          <w:i w:val="0"/>
          <w:sz w:val="22"/>
        </w:rPr>
        <w:t>g. The certificate dated 18/3/1904 allegedly issued by Clerk of Communidade and relied upon by defendant no.1 to 5 is not a grant of the property Oros and Saveli galli and does not confer any right of ownership in favour of the defendants 1 to 4 or their predecessors in the suit property.</w:t>
      </w:r>
    </w:p>
    <w:p>
      <w:r>
        <w:rPr>
          <w:rFonts w:ascii="Times New Roman" w:hAnsi="Times New Roman" w:eastAsia="Times New Roman"/>
          <w:b w:val="0"/>
          <w:i w:val="0"/>
          <w:sz w:val="22"/>
        </w:rPr>
        <w:t>h. To pass a Judgment and Decree declaring that the property under survey no. 93/2, 93/3 and 93/4 of village Bambolim is part of the plaintiff’s property called Saveli Galli and Oros described in the plaint and the same was never granted or sold to late Alexander Rodrigues, Maria Concesao Rodrigues or any other person.</w:t>
      </w:r>
    </w:p>
    <w:p>
      <w:r>
        <w:rPr>
          <w:rFonts w:ascii="Times New Roman" w:hAnsi="Times New Roman" w:eastAsia="Times New Roman"/>
          <w:b w:val="0"/>
          <w:i w:val="0"/>
          <w:sz w:val="22"/>
        </w:rPr>
        <w:t>i. To pass a Judgment and Decree of permanent injunction restraining the defednatns no.1 and 2, their agents, servants or any other person claiming through them from starting any development and construction activities in the suit property, changing the nature of suit property and alienating, selling, transferring, the suit property under survey no. 93/2, 93/3 and 93/4 of village Bambolim in any manner.</w:t>
      </w:r>
    </w:p>
    <w:p/>
    <w:p>
      <w:r>
        <w:rPr>
          <w:rFonts w:ascii="Times New Roman" w:hAnsi="Times New Roman" w:eastAsia="Times New Roman"/>
          <w:b w:val="0"/>
          <w:i w:val="0"/>
          <w:sz w:val="22"/>
        </w:rPr>
        <w:t>j. Pending the hearing and final disposal of the suit to pass a Judgment and Decree of permanent injunction restraining the defednatns no.1 and 2, their agents, servants, or any other person from starting any development and construction activities or changing the nature of the suit property and alienating, transferring the suit property under survey no. 93/2, 93/3 and 93/4 of village Bambolim in any manner.</w:t>
      </w:r>
    </w:p>
    <w:p>
      <w:r>
        <w:rPr>
          <w:rFonts w:ascii="Times New Roman" w:hAnsi="Times New Roman" w:eastAsia="Times New Roman"/>
          <w:b w:val="0"/>
          <w:i w:val="0"/>
          <w:sz w:val="22"/>
        </w:rPr>
        <w:t>k. For add interim relief in terms of prayer (j).</w:t>
      </w:r>
    </w:p>
    <w:p>
      <w:r>
        <w:rPr>
          <w:rFonts w:ascii="Times New Roman" w:hAnsi="Times New Roman" w:eastAsia="Times New Roman"/>
          <w:b w:val="0"/>
          <w:i w:val="0"/>
          <w:sz w:val="22"/>
        </w:rPr>
        <w:t>12. The bar of law that is canvassed in the instant case is the Law of Limitation. It is a settled principle of law that if the question of limitation involves mixed issues of law and fact, the suit cannot be disposed on the preliminary issue of limitation.</w:t>
      </w:r>
    </w:p>
    <w:p>
      <w:r>
        <w:rPr>
          <w:rFonts w:ascii="Times New Roman" w:hAnsi="Times New Roman" w:eastAsia="Times New Roman"/>
          <w:b w:val="0"/>
          <w:i w:val="0"/>
          <w:sz w:val="22"/>
        </w:rPr>
        <w:t>13. Here, I shall usefully refer to the case of Pedro do Rosario Fernandes @ Pedro Antonio Miguel Fernandes Vs. Wilfredo Xavier Jose Monrteiro, 2015(2) Goa L.R., 619, wherein it has been held that:</w:t>
      </w:r>
    </w:p>
    <w:p>
      <w:r>
        <w:rPr>
          <w:rFonts w:ascii="Times New Roman" w:hAnsi="Times New Roman" w:eastAsia="Times New Roman"/>
          <w:b w:val="0"/>
          <w:i w:val="0"/>
          <w:sz w:val="22"/>
        </w:rPr>
        <w:t>"I have carefully considered the submissions of the learned counsel. I have also gone through the records. Shri J.E. Coelho Pereira, learned senior counsel appearing for the appellant, is justified to contend that the averments in the plaint that the appellant obtained the certified copy of the survey records only in August, 1996 have not been disputed by the respondents in the written statement. Be that as it may, the suit filed by the appellant is for declaration of title. Under the provisions of the Limitation Act, specially Section 27 of the Limitation Act of 1963, the right to immoveable properties stands prescribed as per the period provided in the Schedule of the said Act. Article 65 and 66 of the Limitation Act, 1963, provides that title to the property is lost only by adverse possession for the specified period. In the present case, the finding of the learned Judge that the suit for declaration of title is barred by limitation, cannot be accepted. The cause of action to file the suit for declaration of title is continuous and, as such, a suit can be filed as long as the title to the property subsists. In the present case, unless and lunitil the respondents establish that they have become owners by adverse possession, the findings of the learned Judge that the suit is barred by limitation is unsustainable and deserves to be quashed and set aside.”</w:t>
      </w:r>
    </w:p>
    <w:p>
      <w:r>
        <w:rPr>
          <w:rFonts w:ascii="Times New Roman" w:hAnsi="Times New Roman" w:eastAsia="Times New Roman"/>
          <w:b w:val="0"/>
          <w:i w:val="0"/>
          <w:sz w:val="22"/>
        </w:rPr>
        <w:t>14. In this case the judgment Daya Singh and ors. 2010(2)</w:t>
      </w:r>
    </w:p>
    <w:p>
      <w:r>
        <w:rPr>
          <w:rFonts w:ascii="Times New Roman" w:hAnsi="Times New Roman" w:eastAsia="Times New Roman"/>
          <w:b w:val="0"/>
          <w:i w:val="0"/>
          <w:sz w:val="22"/>
        </w:rPr>
        <w:t>SCC 194 was quoted wherein it was held that:</w:t>
      </w:r>
    </w:p>
    <w:p>
      <w:r>
        <w:rPr>
          <w:rFonts w:ascii="Times New Roman" w:hAnsi="Times New Roman" w:eastAsia="Times New Roman"/>
          <w:b w:val="0"/>
          <w:i w:val="0"/>
          <w:sz w:val="22"/>
        </w:rPr>
        <w:t>SCS.52/2013/A</w:t>
      </w:r>
    </w:p>
    <w:p/>
    <w:p>
      <w:r>
        <w:rPr>
          <w:rFonts w:ascii="Times New Roman" w:hAnsi="Times New Roman" w:eastAsia="Times New Roman"/>
          <w:b w:val="0"/>
          <w:i w:val="0"/>
          <w:sz w:val="22"/>
        </w:rPr>
        <w:t>In this view of the matter, we do to find any ground to agree with the findings of the high Court that the suit was barred by time because of its filing after 19 years of entering into the compromise. The question of filing the suit before the right accrued to them by compromise could not arise until and unless infringement of that right was noticed by one of the parties. The High Court in the impugned Judgment, in our view, had fallen in grave error in holding that the suit was barred by time and had ignored to appreciate that the rights of the appellants to have the revenue record accured first arose in 1990 when the appellants came to know about the wrong entry and the respondents failed to join the appellants in getting it corrected. In our view, the High Court was not justified in holding that mere existence of a wrong entry in the revenue records does not, in law gie rise to a cause of action within the meaning of Article 58 of the Act. No other point was urged before us by the learned counsel for the parties."</w:t>
      </w:r>
    </w:p>
    <w:p>
      <w:r>
        <w:rPr>
          <w:rFonts w:ascii="Times New Roman" w:hAnsi="Times New Roman" w:eastAsia="Times New Roman"/>
          <w:b w:val="0"/>
          <w:i w:val="0"/>
          <w:sz w:val="22"/>
        </w:rPr>
        <w:t>15. Therefore, merely because the survey records were to the knowledge of the plaintiffs, the court cannot at the threshold reject the plaint on the ground of limitation.</w:t>
      </w:r>
    </w:p>
    <w:p/>
    <w:p>
      <w:r>
        <w:rPr>
          <w:rFonts w:ascii="Times New Roman" w:hAnsi="Times New Roman" w:eastAsia="Times New Roman"/>
          <w:b w:val="0"/>
          <w:i w:val="0"/>
          <w:sz w:val="22"/>
        </w:rPr>
        <w:t>16. Insofar as the consent terms are concerned, the plaintiff has pleaded that the consent decree is obtained by fraud. It is a settled principle of law that fraud vitiates everything including the period of time laid down in the Law of Limitation.</w:t>
      </w:r>
    </w:p>
    <w:p>
      <w:r>
        <w:rPr>
          <w:rFonts w:ascii="Times New Roman" w:hAnsi="Times New Roman" w:eastAsia="Times New Roman"/>
          <w:b w:val="0"/>
          <w:i w:val="0"/>
          <w:sz w:val="22"/>
        </w:rPr>
        <w:t>17. It was held in the case of Sazyad Mainuddin &amp; anr. Vs. Sayed Quadri AIR 1971 SC 2184. In that case, partition of the properties was done with the consent of the parties, but later some fraud was discovered. Hence, a suit was filed for declaration was not barred by limitation.</w:t>
      </w:r>
    </w:p>
    <w:p>
      <w:r>
        <w:rPr>
          <w:rFonts w:ascii="Times New Roman" w:hAnsi="Times New Roman" w:eastAsia="Times New Roman"/>
          <w:b w:val="0"/>
          <w:i w:val="0"/>
          <w:sz w:val="22"/>
        </w:rPr>
        <w:t>18. In the light of the above, the issue of fraud or the question whether knowledge of survey records operated as a bar, is a question involving mixed questions of law and facts requiring the Court to examine the same in a full trial.</w:t>
      </w:r>
    </w:p>
    <w:p>
      <w:r>
        <w:rPr>
          <w:rFonts w:ascii="Times New Roman" w:hAnsi="Times New Roman" w:eastAsia="Times New Roman"/>
          <w:b w:val="0"/>
          <w:i w:val="0"/>
          <w:sz w:val="22"/>
        </w:rPr>
        <w:t>19. Ld. Counsel for the defendant has relied on the judgment in the case of N. V. Srinivasa Murthy Vs. Maryamma, (2005)5 SCC 548, wherein it has been held that:</w:t>
      </w:r>
    </w:p>
    <w:p>
      <w:r>
        <w:rPr>
          <w:rFonts w:ascii="Times New Roman" w:hAnsi="Times New Roman" w:eastAsia="Times New Roman"/>
          <w:b w:val="0"/>
          <w:i w:val="0"/>
          <w:sz w:val="22"/>
        </w:rPr>
        <w:t>"Necessity of claiming reliefs on which such title dependent - Title of appellant-plaintiffs resting on execution of agreement for reconveyance of suit property by respondent-defendants to them - Appellants neither claiming declaration as to nature of registered sale deed executed by them in favour of respondents (to show that it was merely security for a loan) nor claiming specific performance of alleged agreement for reconveyance of suit property - Consequence - Held, said declaration of absolute title could not have been claimed by appellants without claiming the above reliefs on which their title was dependent - Civil Procedure Code, 1908 - Or.7 Rr.7 &amp; 8."</w:t>
      </w:r>
    </w:p>
    <w:p>
      <w:r>
        <w:rPr>
          <w:rFonts w:ascii="Times New Roman" w:hAnsi="Times New Roman" w:eastAsia="Times New Roman"/>
          <w:b w:val="0"/>
          <w:i w:val="0"/>
          <w:sz w:val="22"/>
        </w:rPr>
        <w:t>20. In the said case there is a clear finding given that the subsequent suit was barred by Or.2 Rule 2 of C.P.CP. Whereas, in the instant case it is a part of record that the consent decree is a part of subject matter of another Civil Misc. Application filed for its recall.</w:t>
      </w:r>
    </w:p>
    <w:p>
      <w:r>
        <w:rPr>
          <w:rFonts w:ascii="Times New Roman" w:hAnsi="Times New Roman" w:eastAsia="Times New Roman"/>
          <w:b w:val="0"/>
          <w:i w:val="0"/>
          <w:sz w:val="22"/>
        </w:rPr>
        <w:t>21. This court cannot be oblivious of the fact that the plaintiff has averred at para 53 and 54 that the Dy. Collector has raised doubt over the manner in which the consent terms were entered in The Hon’ble High Court has given liberty to the parties agitate to the claim before the Civil Court. Three years have not expired since time. Therefore, the plaintiff cannot be rejected under Order 7 Rule C.P.C. The question of limitation is kept open.</w:t>
      </w:r>
    </w:p>
    <w:p>
      <w:r>
        <w:rPr>
          <w:rFonts w:ascii="Times New Roman" w:hAnsi="Times New Roman" w:eastAsia="Times New Roman"/>
          <w:b w:val="0"/>
          <w:i w:val="0"/>
          <w:sz w:val="22"/>
        </w:rPr>
        <w:t>14. In view of the above, I pass the following:</w:t>
      </w:r>
    </w:p>
    <w:p/>
    <w:p>
      <w:r>
        <w:rPr>
          <w:rFonts w:ascii="Times New Roman" w:hAnsi="Times New Roman" w:eastAsia="Times New Roman"/>
          <w:b/>
          <w:i w:val="0"/>
          <w:color w:val="8B2E2E"/>
          <w:sz w:val="26"/>
        </w:rPr>
        <w:t>ORDER</w:t>
      </w:r>
    </w:p>
    <w:p>
      <w:r>
        <w:rPr>
          <w:rFonts w:ascii="Times New Roman" w:hAnsi="Times New Roman" w:eastAsia="Times New Roman"/>
          <w:b w:val="0"/>
          <w:i w:val="0"/>
          <w:sz w:val="22"/>
        </w:rPr>
        <w:t>The application is dismissed.</w:t>
      </w:r>
    </w:p>
    <w:p>
      <w:r>
        <w:rPr>
          <w:rFonts w:ascii="Times New Roman" w:hAnsi="Times New Roman" w:eastAsia="Times New Roman"/>
          <w:b w:val="0"/>
          <w:i w:val="0"/>
          <w:sz w:val="22"/>
        </w:rPr>
        <w:t>Pronounced in open court.</w:t>
      </w:r>
    </w:p>
    <w:p>
      <w:r>
        <w:rPr>
          <w:rFonts w:ascii="Times New Roman" w:hAnsi="Times New Roman" w:eastAsia="Times New Roman"/>
          <w:b w:val="0"/>
          <w:i w:val="0"/>
          <w:sz w:val="22"/>
        </w:rPr>
        <w:t>(Pooja C. Kavlekar)</w:t>
      </w:r>
    </w:p>
    <w:p>
      <w:r>
        <w:rPr>
          <w:rFonts w:ascii="Times New Roman" w:hAnsi="Times New Roman" w:eastAsia="Times New Roman"/>
          <w:b w:val="0"/>
          <w:i w:val="0"/>
          <w:sz w:val="22"/>
        </w:rPr>
        <w:t>Ad-hoc Senior Civil Judge, 'A</w:t>
      </w:r>
    </w:p>
    <w:p>
      <w:r>
        <w:rPr>
          <w:rFonts w:ascii="Times New Roman" w:hAnsi="Times New Roman" w:eastAsia="Times New Roman"/>
          <w:b w:val="0"/>
          <w:i w:val="0"/>
          <w:sz w:val="22"/>
        </w:rPr>
        <w:t>Court, Panaji Goa</w:t>
      </w:r>
    </w:p>
    <w:p>
      <w:r>
        <w:rPr>
          <w:rFonts w:ascii="Times New Roman" w:hAnsi="Times New Roman" w:eastAsia="Times New Roman"/>
          <w:b w:val="0"/>
          <w:i w:val="0"/>
          <w:sz w:val="22"/>
        </w:rPr>
        <w:t>np</w:t>
      </w:r>
    </w:p>
    <w:sectPr w:rsidR="00FC693F" w:rsidRPr="0006063C" w:rsidSect="00034616">
      <w:headerReference w:type="default" r:id="rId9"/>
      <w:footerReference w:type="default" r:id="rId10"/>
      <w:pgSz w:w="11906" w:h="16838"/>
      <w:pgMar w:top="1247" w:right="1247" w:bottom="1247" w:left="124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eastAsia="Times New Roman"/>
        <w:b w:val="0"/>
        <w:i/>
        <w:color w:val="8B2E2E"/>
        <w:sz w:val="18"/>
      </w:rPr>
      <w:t xml:space="preserve">transcription, not a finding  ·  </w:t>
    </w:r>
    <w:r>
      <w:rPr>
        <w:rFonts w:ascii="Times New Roman" w:hAnsi="Times New Roman" w:eastAsia="Times New Roman"/>
        <w:b w:val="0"/>
        <w:i w:val="0"/>
        <w:color w:val="8B2E2E"/>
        <w:sz w:val="18"/>
      </w:rPr>
      <w:fldChar w:fldCharType="begin"/>
      <w:instrText xml:space="preserve"> PAGE </w:instrText>
      <w:fldChar w:fldCharType="end"/>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r>
      <w:rPr>
        <w:rFonts w:ascii="Times New Roman" w:hAnsi="Times New Roman" w:eastAsia="Times New Roman"/>
        <w:b w:val="0"/>
        <w:i/>
        <w:color w:val="8B2E2E"/>
        <w:sz w:val="18"/>
      </w:rPr>
      <w:t>Mr. Vikram Shah v. Mrs. Riva Trindade &amp; Ors.</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line="240" w:lineRule="auto"/>
    </w:pPr>
    <w:rPr>
      <w:rFonts w:ascii="Times New Roman" w:hAnsi="Times New Roman"/>
      <w:color w:val="1C1612"/>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