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Claimant_s Reply to Section 16 Application (filed by Respondent No.2)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Claimant_s Reply to Section 16 Application (filed by Respondent No.2)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Claimants Reply to Section 16 Application (filed by Respondent No.2)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10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Section 16/Claimants Reply to Section 16 Application (filed by Respondent No.2).pdf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`43efee06ee1f3b1a584148b7e6fdfd76783bef068e7f0d9f79a9915adb561b82`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Claimant_s Reply to Section 16 Application (filed by Respondent No.2)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1-10 --&gt;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VIKARM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 &amp;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ΤΟ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16 OF THE ARBITRATION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CONCILIATION ACT, 1996 FILED 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INSTANCE OF THE RESPONDENT NO. 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HON'BLE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most humbly begs to state and submit and under.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At the outset, it is submitted that the present Application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No. 2, purportedly under Section 16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and Conciliation Act, 1996 is wholly misconceived,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untenable both in law and on facts, and is liable to be dismissed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limine.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It is submitted that the Application in question is nothing short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figment of belated afterthought, and has been filed with the sole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intent of derailing and delaying the present arbitral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It is a matter of record that the Respondents Nos. 1, 2 and 3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filed their Statement of Defence on 07.03.2025 without raising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objection as to the jurisdiction of this Hon'ble Tribunal on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grounds now sought to be urged in terms of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 The present plea is raised for the first time at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belated stage and is clearly barred under Section 16(2) of the Act,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mandates that a plea that the Arbitral Tribunal lacks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ought to be raised not later than the submission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The law on this issue is no longer res integra.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Supreme Court in M/s. Vidhyawati Construction Company 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 of India reported (2025) 5 SCC 347 has categorically held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a jurisdictional objection not raised at the stage of filing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Defence is deemed to have been waived and cannot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permitted to be raised at a belated stage.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It is submitted that conduct of Respondent No. 2 squarely attracts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doctrine of waiver and acquiescence. It is submitted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2, having participated in the present arbitral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and having filed a detailed Statement of Defence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merits, cannot now be permitted to approbate and reprobate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raising a jurisdictional challenge at a belated stage. In fact,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conduct is impermissible in law and contrary to the Principles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contained in Section 4 of the Arbitration and Conciliation Act,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1996 relating to waiver of right to object.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In any event of the matter, and without prejudice to the above,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even on merits, the contention of Respondent No. 2 that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Tribunal lacks jurisdiction is wholly unsustainable.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It is submitted that the plea of the Respondent No. 2 is premised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assertion that Respondent No. 2 is not a signatory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constituting the Association of Persons and that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alleged moiety share under the Regime of Communion of Assets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cannot be bound by the said Agreement.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It is humbly submitted that, in the first instance, such a contention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ex facie erroneous and contrary to settled legal principles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governing binding of non-signatories. The Hon'ble Supreme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Chloro Controls India Pvt. Ltd. v. Severn Trent Water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Purification Inc. reported in (2013) 1 SCC 641 has recognized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non-signatories may be bound by an arbitration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the "group of companies" doctrine and other principles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composite transactions, commonality of subject matter,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 relationship with the signatory party. This principle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further elaborated and reaffirmed by the Constitution Bench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Supreme Court in Cox and Kings Ltd. v. SAP India Pvt.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Ltd. reported in 2023 SCC OnLine SC 1634, wherein it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held that non-signatories can be referred to arbitration if they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directly involved in the performance of the contract, or where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circumstances demonstrate a clear intention to bind such parties.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Secondly, it is humbly submitted that the plea now sought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canvased by the Respondent No. 2 by placing reliance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Regime of Communion of Assets is wholly misconceived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legally untenable. The same is in ignorance of the provisions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Civil Code, including Articles 1117, 1118 and 1193,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clearly indicate that the administration and management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communion property is that of the husband, and transactions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entered into in the course of such management are binding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It is submitted that the Respondent No. 2 has failed to demonstrate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how the present Agreement falls within any exception moreso,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when the Agreement is to the tacit knowledge of the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11.It is submitted that the Agreement constituting the Association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Persons was entered into in furtherance of a commercial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transaction concerning the suit properties, and the same cannot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conveniently disowned by Respondent No. 2 while continuing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retain benefits arising therefrom. In this context, a gainful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reference can be had from the law laid down by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Bombay High Court in Rashmi Mehra v. Eac Trading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reported in 2018 SCC OnLine Bom 1502 has held that a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cannot avoid arbitration on derivative claims merely by asserting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lack of signature when the surrounding circumstances indicate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participation, benefit, and connection with the transaction.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Similarly, in Ameet Lalchand Shah v. Rishabh Enterprises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reported in (2018) 15 SCC 678, the Hon'ble Supreme Court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held that where multiple agreements and parties are intrinsically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interlinked in a composite transaction, even non-signatories can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to arbitration to avoid multiplicity of proceedings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conflicting decisions.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In the present case, the disputes raised by the Claimant arise out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composite arrangement involving the suit properties,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Persons, and the conduct of all Respondents acting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pursuance thereof. The adjudication of such disputes necessarily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requires the presence of Respondent No. 2 before this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It is further submitted that permitting Respondent No. 2 to raise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such a belated jurisdictional objection would only defeat the very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object of the Act, which is to ensure expeditious and efficient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resolution of disputes.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present Application is thus not only barred by limitation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16(2) but is also hit by the principles of waiver, estoppel,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acquiescence. The same is devoid of merits and constitutes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abuse of the process of law.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In such circumstances, it is most respectfully prayed that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Tribunal be pleased to dismiss the Application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 with costs, and proceed with the adjudication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present dispute on merits.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the Claimant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