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center"/>
      </w:pPr>
      <w:r>
        <w:rPr>
          <w:rFonts w:ascii="Times New Roman" w:hAnsi="Times New Roman" w:eastAsia="Times New Roman"/>
          <w:b/>
          <w:i w:val="0"/>
          <w:color w:val="8B2E2E"/>
          <w:sz w:val="24"/>
        </w:rPr>
        <w:t>ARBITRATION ARCHIVE</w:t>
      </w:r>
    </w:p>
    <w:p>
      <w:pPr>
        <w:jc w:val="center"/>
      </w:pPr>
      <w:r>
        <w:rPr>
          <w:rFonts w:ascii="Times New Roman" w:hAnsi="Times New Roman" w:eastAsia="Times New Roman"/>
          <w:b/>
          <w:i w:val="0"/>
          <w:sz w:val="36"/>
        </w:rPr>
        <w:t>Notes of Arguments, Claimant, Opposing Application for Leave to File Additional Reply</w:t>
      </w:r>
    </w:p>
    <w:p>
      <w:pPr>
        <w:jc w:val="center"/>
      </w:pPr>
      <w:r>
        <w:rPr>
          <w:rFonts w:ascii="Times New Roman" w:hAnsi="Times New Roman" w:eastAsia="Times New Roman"/>
          <w:b w:val="0"/>
          <w:i/>
          <w:sz w:val="24"/>
        </w:rPr>
        <w:t>Mr. Vikram Shah v. Mrs. Riva Trindade &amp; Ors.</w:t>
      </w:r>
    </w:p>
    <w:p>
      <w:pPr>
        <w:jc w:val="center"/>
      </w:pPr>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br w:type="page"/>
      </w:r>
    </w:p>
    <w:p>
      <w:r>
        <w:rPr>
          <w:rFonts w:ascii="Times New Roman" w:hAnsi="Times New Roman" w:eastAsia="Times New Roman"/>
          <w:b/>
          <w:i w:val="0"/>
          <w:color w:val="8B2E2E"/>
          <w:sz w:val="32"/>
        </w:rPr>
        <w:t>Notes of Arguments, Claimant, Opposing Application for Leave to File Additional Reply</w:t>
      </w:r>
    </w:p>
    <w:p>
      <w:r>
        <w:rPr>
          <w:rFonts w:ascii="Times New Roman" w:hAnsi="Times New Roman" w:eastAsia="Times New Roman"/>
          <w:b w:val="0"/>
          <w:i w:val="0"/>
          <w:sz w:val="22"/>
        </w:rPr>
        <w:t xml:space="preserve">Case: Mr. Vikram Shah v. Mrs. Riva Trindade &amp; Ors.  </w:t>
      </w:r>
    </w:p>
    <w:p>
      <w:r>
        <w:rPr>
          <w:rFonts w:ascii="Times New Roman" w:hAnsi="Times New Roman" w:eastAsia="Times New Roman"/>
          <w:b w:val="0"/>
          <w:i w:val="0"/>
          <w:sz w:val="22"/>
        </w:rPr>
        <w:t xml:space="preserve">Forum: Hon'ble Sole Arbitrator, Mr. Nitin N. Sardesai, Senior Advocate  </w:t>
      </w:r>
    </w:p>
    <w:p>
      <w:r>
        <w:rPr>
          <w:rFonts w:ascii="Times New Roman" w:hAnsi="Times New Roman" w:eastAsia="Times New Roman"/>
          <w:b w:val="0"/>
          <w:i w:val="0"/>
          <w:sz w:val="22"/>
        </w:rPr>
        <w:t xml:space="preserve">Document: Notes of Arguments, Claimant, Opposing Application for Leave to File Additional Reply  </w:t>
      </w:r>
    </w:p>
    <w:p>
      <w:r>
        <w:rPr>
          <w:rFonts w:ascii="Times New Roman" w:hAnsi="Times New Roman" w:eastAsia="Times New Roman"/>
          <w:b w:val="0"/>
          <w:i w:val="0"/>
          <w:sz w:val="22"/>
        </w:rPr>
        <w:t xml:space="preserve">Kind: pleading  </w:t>
      </w:r>
    </w:p>
    <w:p>
      <w:r>
        <w:rPr>
          <w:rFonts w:ascii="Times New Roman" w:hAnsi="Times New Roman" w:eastAsia="Times New Roman"/>
          <w:b w:val="0"/>
          <w:i w:val="0"/>
          <w:sz w:val="22"/>
        </w:rPr>
        <w:t xml:space="preserve">Pages: 6  </w:t>
      </w:r>
    </w:p>
    <w:p>
      <w:r>
        <w:rPr>
          <w:rFonts w:ascii="Times New Roman" w:hAnsi="Times New Roman" w:eastAsia="Times New Roman"/>
          <w:b w:val="0"/>
          <w:i w:val="0"/>
          <w:sz w:val="22"/>
        </w:rPr>
        <w:t xml:space="preserve">Source file: 3 New Applications/Notes of Arguments, Claimant, Opposing Application for Leave to File Additional Reply.pdf  </w:t>
      </w:r>
    </w:p>
    <w:p>
      <w:r>
        <w:rPr>
          <w:rFonts w:ascii="Times New Roman" w:hAnsi="Times New Roman" w:eastAsia="Times New Roman"/>
          <w:b w:val="0"/>
          <w:i w:val="0"/>
          <w:sz w:val="22"/>
        </w:rPr>
        <w:t>SHA-256: `b642c7332552d6d5f56657ece470613dac59846ef0c605add26ea208fa037296`</w:t>
      </w:r>
    </w:p>
    <w:p>
      <w:r>
        <w:rPr>
          <w:rFonts w:ascii="Times New Roman" w:hAnsi="Times New Roman" w:eastAsia="Times New Roman"/>
          <w:b w:val="0"/>
          <w:i/>
          <w:color w:val="8B2E2E"/>
          <w:sz w:val="22"/>
        </w:rPr>
        <w:t>This archive restates a party's papers under the Arbitration and Conciliation Act, 1996 and related Goa civil proceedings. It is not an award, not legal advice, and not a determination of fact.</w:t>
      </w:r>
    </w:p>
    <w:p>
      <w:r>
        <w:rPr>
          <w:rFonts w:ascii="Times New Roman" w:hAnsi="Times New Roman" w:eastAsia="Times New Roman"/>
          <w:b/>
          <w:i w:val="0"/>
          <w:color w:val="8B2E2E"/>
          <w:sz w:val="26"/>
        </w:rPr>
        <w:t>Contents</w:t>
      </w:r>
    </w:p>
    <w:tbl>
      <w:tblPr>
        <w:tblStyle w:val="TableGrid"/>
        <w:tblW w:type="auto" w:w="0"/>
        <w:tblLook w:firstColumn="1" w:firstRow="1" w:lastColumn="0" w:lastRow="0" w:noHBand="0" w:noVBand="1" w:val="04A0"/>
      </w:tblPr>
      <w:tblGrid>
        <w:gridCol w:w="3137"/>
        <w:gridCol w:w="3137"/>
        <w:gridCol w:w="3137"/>
      </w:tblGrid>
      <w:tr>
        <w:tc>
          <w:tcPr>
            <w:tcW w:type="dxa" w:w="3137"/>
            <w:shd w:fill="8B2E2E" w:val="clear"/>
          </w:tcPr>
          <w:p>
            <w:r>
              <w:rPr>
                <w:rFonts w:ascii="Times New Roman" w:hAnsi="Times New Roman" w:eastAsia="Times New Roman"/>
                <w:b/>
                <w:i w:val="0"/>
                <w:color w:val="FFFFFF"/>
                <w:sz w:val="20"/>
              </w:rPr>
              <w:t>No.</w:t>
            </w:r>
          </w:p>
        </w:tc>
        <w:tc>
          <w:tcPr>
            <w:tcW w:type="dxa" w:w="3137"/>
            <w:shd w:fill="8B2E2E" w:val="clear"/>
          </w:tcPr>
          <w:p>
            <w:r>
              <w:rPr>
                <w:rFonts w:ascii="Times New Roman" w:hAnsi="Times New Roman" w:eastAsia="Times New Roman"/>
                <w:b/>
                <w:i w:val="0"/>
                <w:color w:val="FFFFFF"/>
                <w:sz w:val="20"/>
              </w:rPr>
              <w:t>Section</w:t>
            </w:r>
          </w:p>
        </w:tc>
        <w:tc>
          <w:tcPr>
            <w:tcW w:type="dxa" w:w="3137"/>
            <w:shd w:fill="8B2E2E" w:val="clear"/>
          </w:tcPr>
          <w:p>
            <w:r>
              <w:rPr>
                <w:rFonts w:ascii="Times New Roman" w:hAnsi="Times New Roman" w:eastAsia="Times New Roman"/>
                <w:b/>
                <w:i w:val="0"/>
                <w:color w:val="FFFFFF"/>
                <w:sz w:val="20"/>
              </w:rPr>
              <w:t>PDF pages</w:t>
            </w:r>
          </w:p>
        </w:tc>
      </w:tr>
      <w:tr>
        <w:tc>
          <w:tcPr>
            <w:tcW w:type="dxa" w:w="3137"/>
            <w:shd w:fill="FFFFFF" w:val="clear"/>
          </w:tcPr>
          <w:p>
            <w:r>
              <w:rPr>
                <w:rFonts w:ascii="Times New Roman" w:hAnsi="Times New Roman" w:eastAsia="Times New Roman"/>
                <w:b w:val="0"/>
                <w:i w:val="0"/>
                <w:color w:val="1C1612"/>
                <w:sz w:val="20"/>
              </w:rPr>
              <w:t>1</w:t>
            </w:r>
          </w:p>
        </w:tc>
        <w:tc>
          <w:tcPr>
            <w:tcW w:type="dxa" w:w="3137"/>
            <w:shd w:fill="FFFFFF" w:val="clear"/>
          </w:tcPr>
          <w:p>
            <w:r>
              <w:rPr>
                <w:rFonts w:ascii="Times New Roman" w:hAnsi="Times New Roman" w:eastAsia="Times New Roman"/>
                <w:b w:val="0"/>
                <w:i w:val="0"/>
                <w:color w:val="1C1612"/>
                <w:sz w:val="20"/>
              </w:rPr>
              <w:t>Notes of Arguments, Claimant, Opposing Application for Leave to File Additional Reply</w:t>
            </w:r>
          </w:p>
        </w:tc>
        <w:tc>
          <w:tcPr>
            <w:tcW w:type="dxa" w:w="3137"/>
            <w:shd w:fill="FFFFFF" w:val="clear"/>
          </w:tcPr>
          <w:p>
            <w:r>
              <w:rPr>
                <w:rFonts w:ascii="Times New Roman" w:hAnsi="Times New Roman" w:eastAsia="Times New Roman"/>
                <w:b w:val="0"/>
                <w:i w:val="0"/>
                <w:color w:val="1C1612"/>
                <w:sz w:val="20"/>
              </w:rPr>
              <w:t>1-6</w:t>
            </w:r>
          </w:p>
        </w:tc>
      </w:tr>
    </w:tbl>
    <w:p>
      <w:r>
        <w:rPr>
          <w:rFonts w:ascii="Times New Roman" w:hAnsi="Times New Roman" w:eastAsia="Times New Roman"/>
          <w:b w:val="0"/>
          <w:i w:val="0"/>
          <w:sz w:val="22"/>
        </w:rPr>
        <w:t>&lt;!-- SECTION: full | PDF pages 1-6 --&gt;</w:t>
      </w:r>
    </w:p>
    <w:p>
      <w:r>
        <w:rPr>
          <w:rFonts w:ascii="Times New Roman" w:hAnsi="Times New Roman" w:eastAsia="Times New Roman"/>
          <w:b w:val="0"/>
          <w:i/>
          <w:color w:val="8B2E2E"/>
          <w:sz w:val="22"/>
        </w:rPr>
        <w:t>Clerk note: continuous OCR for a 6-page paper. Open Original scans for page boundaries. Figures are as printed.</w:t>
      </w:r>
    </w:p>
    <w:p>
      <w:r>
        <w:rPr>
          <w:rFonts w:ascii="Times New Roman" w:hAnsi="Times New Roman" w:eastAsia="Times New Roman"/>
          <w:b/>
          <w:i w:val="0"/>
          <w:color w:val="8B2E2E"/>
          <w:sz w:val="32"/>
        </w:rPr>
        <w:t>BEFORE THE ARBITRAL TRIBUNAL COMPRISING OF</w:t>
      </w:r>
    </w:p>
    <w:p>
      <w:r>
        <w:rPr>
          <w:rFonts w:ascii="Times New Roman" w:hAnsi="Times New Roman" w:eastAsia="Times New Roman"/>
          <w:b w:val="0"/>
          <w:i w:val="0"/>
          <w:sz w:val="22"/>
        </w:rPr>
        <w:t>THE SOLE ARBITRATOR SENIOR ADVOCATE N.N.P. SARDESAI</w:t>
      </w:r>
    </w:p>
    <w:p>
      <w:r>
        <w:rPr>
          <w:rFonts w:ascii="Times New Roman" w:hAnsi="Times New Roman" w:eastAsia="Times New Roman"/>
          <w:b w:val="0"/>
          <w:i w:val="0"/>
          <w:sz w:val="22"/>
        </w:rPr>
        <w:t>AT PANAJI, GOA</w:t>
      </w:r>
    </w:p>
    <w:p>
      <w:r>
        <w:rPr>
          <w:rFonts w:ascii="Times New Roman" w:hAnsi="Times New Roman" w:eastAsia="Times New Roman"/>
          <w:b w:val="0"/>
          <w:i w:val="0"/>
          <w:sz w:val="22"/>
        </w:rPr>
        <w:t>In the matter of:</w:t>
      </w:r>
    </w:p>
    <w:p>
      <w:r>
        <w:rPr>
          <w:rFonts w:ascii="Times New Roman" w:hAnsi="Times New Roman" w:eastAsia="Times New Roman"/>
          <w:b w:val="0"/>
          <w:i w:val="0"/>
          <w:sz w:val="22"/>
        </w:rPr>
        <w:t>VIKRAM SHAH ...Claimant</w:t>
      </w:r>
    </w:p>
    <w:p>
      <w:r>
        <w:rPr>
          <w:rFonts w:ascii="Times New Roman" w:hAnsi="Times New Roman" w:eastAsia="Times New Roman"/>
          <w:b w:val="0"/>
          <w:i w:val="0"/>
          <w:sz w:val="22"/>
        </w:rPr>
        <w:t>V/s.</w:t>
      </w:r>
    </w:p>
    <w:p>
      <w:r>
        <w:rPr>
          <w:rFonts w:ascii="Times New Roman" w:hAnsi="Times New Roman" w:eastAsia="Times New Roman"/>
          <w:b w:val="0"/>
          <w:i w:val="0"/>
          <w:sz w:val="22"/>
        </w:rPr>
        <w:t>RIVA TRINDADE &amp; 3 Ors. ...Respondents</w:t>
      </w:r>
    </w:p>
    <w:p>
      <w:r>
        <w:rPr>
          <w:rFonts w:ascii="Times New Roman" w:hAnsi="Times New Roman" w:eastAsia="Times New Roman"/>
          <w:b w:val="0"/>
          <w:i w:val="0"/>
          <w:sz w:val="22"/>
        </w:rPr>
        <w:t>NOTES OF ARGUMENTS ON BEHALF OF THE CLAIMANT IN OPPOSITION TO</w:t>
      </w:r>
    </w:p>
    <w:p>
      <w:r>
        <w:rPr>
          <w:rFonts w:ascii="Times New Roman" w:hAnsi="Times New Roman" w:eastAsia="Times New Roman"/>
          <w:b w:val="0"/>
          <w:i w:val="0"/>
          <w:sz w:val="22"/>
        </w:rPr>
        <w:t>THE APPLICATION DATED 12.06.2026 SEEKING LEAVE TO FILE ADDITIONAL</w:t>
      </w:r>
    </w:p>
    <w:p>
      <w:r>
        <w:rPr>
          <w:rFonts w:ascii="Times New Roman" w:hAnsi="Times New Roman" w:eastAsia="Times New Roman"/>
          <w:b w:val="0"/>
          <w:i w:val="0"/>
          <w:sz w:val="22"/>
        </w:rPr>
        <w:t>REPLY FILED BY RESPONDENT NOS. 1, 2 AND 3</w:t>
      </w:r>
    </w:p>
    <w:p>
      <w:r>
        <w:rPr>
          <w:rFonts w:ascii="Times New Roman" w:hAnsi="Times New Roman" w:eastAsia="Times New Roman"/>
          <w:b/>
          <w:i w:val="0"/>
          <w:color w:val="8B2E2E"/>
          <w:sz w:val="26"/>
        </w:rPr>
        <w:t>A. SYNOPSIS</w:t>
      </w:r>
    </w:p>
    <w:p>
      <w:r>
        <w:rPr>
          <w:rFonts w:ascii="Times New Roman" w:hAnsi="Times New Roman" w:eastAsia="Times New Roman"/>
          <w:b w:val="0"/>
          <w:i w:val="0"/>
          <w:sz w:val="22"/>
        </w:rPr>
        <w:t>1. By an application dated 12.06.2026, Respondent Nos. 1, 2 and 3 (“Respondents”) seek leave to file an “additional reply” — not to the Statement of Defence, but to the Claimant's pending application under Section 17 of the Arbitration and Conciliation Act, 1996 (“the Act”) for interim measures. This is sought nearly two years after constitution of this Hon'ble Tribunal (Order dated 07.08.2024), at a stage when the Section 17 application is ripe for final hearing and disposal, and after the Respondents have already filed a detailed and exhaustive reply to that very application.</w:t>
      </w:r>
    </w:p>
    <w:p>
      <w:r>
        <w:rPr>
          <w:rFonts w:ascii="Times New Roman" w:hAnsi="Times New Roman" w:eastAsia="Times New Roman"/>
          <w:b w:val="0"/>
          <w:i w:val="0"/>
          <w:sz w:val="22"/>
        </w:rPr>
        <w:t>2. The Claimant has filed a detailed Reply dated 07.07.2026 opposing the application. These Notes of Arguments amplify, for the purposes of oral submissions, the grounds already pleaded therein, with reference to the applicable legal principles.</w:t>
      </w:r>
    </w:p>
    <w:p>
      <w:r>
        <w:rPr>
          <w:rFonts w:ascii="Times New Roman" w:hAnsi="Times New Roman" w:eastAsia="Times New Roman"/>
          <w:b/>
          <w:i w:val="0"/>
          <w:color w:val="8B2E2E"/>
          <w:sz w:val="26"/>
        </w:rPr>
        <w:t>B. POINTS ARISING FOR CONSIDERATION</w:t>
      </w:r>
    </w:p>
    <w:p>
      <w:r>
        <w:rPr>
          <w:rFonts w:ascii="Times New Roman" w:hAnsi="Times New Roman" w:eastAsia="Times New Roman"/>
          <w:b w:val="0"/>
          <w:i w:val="0"/>
          <w:sz w:val="22"/>
        </w:rPr>
        <w:t>• Point I — Whether an “additional reply” introducing merits-based defence is permissible within the limited scope of Section 17 proceedings.</w:t>
      </w:r>
    </w:p>
    <w:p>
      <w:r>
        <w:rPr>
          <w:rFonts w:ascii="Times New Roman" w:hAnsi="Times New Roman" w:eastAsia="Times New Roman"/>
          <w:b w:val="0"/>
          <w:i w:val="0"/>
          <w:sz w:val="22"/>
        </w:rPr>
        <w:t>• Point II — Whether the Respondents have discharged the burden of showing due diligence and sufficient cause for not raising this material at the appropriate stage.</w:t>
      </w:r>
    </w:p>
    <w:p>
      <w:r>
        <w:rPr>
          <w:rFonts w:ascii="Times New Roman" w:hAnsi="Times New Roman" w:eastAsia="Times New Roman"/>
          <w:b w:val="0"/>
          <w:i w:val="0"/>
          <w:sz w:val="22"/>
        </w:rPr>
        <w:t>• Point III — Whether the application, filed after nearly two years and at the stage of final hearing, is barred by delay and constitutes an abuse of process.</w:t>
      </w:r>
    </w:p>
    <w:p>
      <w:r>
        <w:rPr>
          <w:rFonts w:ascii="Times New Roman" w:hAnsi="Times New Roman" w:eastAsia="Times New Roman"/>
          <w:b w:val="0"/>
          <w:i w:val="0"/>
          <w:sz w:val="22"/>
        </w:rPr>
        <w:t>• Point IV — Whether the application is rendered redundant and unnecessary by the Respondents' own pending application for production of the very same documents.</w:t>
      </w:r>
    </w:p>
    <w:p/>
    <w:p>
      <w:r>
        <w:rPr>
          <w:rFonts w:ascii="Times New Roman" w:hAnsi="Times New Roman" w:eastAsia="Times New Roman"/>
          <w:b w:val="0"/>
          <w:i w:val="0"/>
          <w:sz w:val="22"/>
        </w:rPr>
        <w:t>• Point V — Whether the balance of convenience and the test of comparative prejudice favour rejection of the application.</w:t>
      </w:r>
    </w:p>
    <w:p>
      <w:r>
        <w:rPr>
          <w:rFonts w:ascii="Times New Roman" w:hAnsi="Times New Roman" w:eastAsia="Times New Roman"/>
          <w:b w:val="0"/>
          <w:i w:val="0"/>
          <w:sz w:val="22"/>
        </w:rPr>
        <w:t>• Point VI — Whether the internal inconsistency in the application (misdescription of the Claimant) reinforces the want of bona fides.</w:t>
      </w:r>
    </w:p>
    <w:p>
      <w:r>
        <w:rPr>
          <w:rFonts w:ascii="Times New Roman" w:hAnsi="Times New Roman" w:eastAsia="Times New Roman"/>
          <w:b/>
          <w:i w:val="0"/>
          <w:color w:val="8B2E2E"/>
          <w:sz w:val="26"/>
        </w:rPr>
        <w:t>C. POINT I: SCOPE OF SECTION 17 DOES NOT PERMIT A MERITS-BASED "ADDITIONAL REPLY"</w:t>
      </w:r>
    </w:p>
    <w:p>
      <w:r>
        <w:rPr>
          <w:rFonts w:ascii="Times New Roman" w:hAnsi="Times New Roman" w:eastAsia="Times New Roman"/>
          <w:b w:val="0"/>
          <w:i w:val="0"/>
          <w:sz w:val="22"/>
        </w:rPr>
        <w:t>3. It is well settled that an application under Section 17 of the Act is required to be decided on a prima facie view, applying the well-known triple test of (i) a prima facie case, (ii) balance of convenience, and (iii) irreparable injury — the same test applicable to interlocutory injunctions generally, and not on a detailed adjudication of the merits of the dispute.</w:t>
      </w:r>
    </w:p>
    <w:p>
      <w:r>
        <w:rPr>
          <w:rFonts w:ascii="Times New Roman" w:hAnsi="Times New Roman" w:eastAsia="Times New Roman"/>
          <w:b w:val="0"/>
          <w:i w:val="0"/>
          <w:sz w:val="22"/>
        </w:rPr>
        <w:t>• Wander Ltd. v. Antox India (P) Ltd., 1990 Supp SCC 727 — laying down the triple test for grant of interlocutory relief.</w:t>
      </w:r>
    </w:p>
    <w:p>
      <w:r>
        <w:rPr>
          <w:rFonts w:ascii="Times New Roman" w:hAnsi="Times New Roman" w:eastAsia="Times New Roman"/>
          <w:b w:val="0"/>
          <w:i w:val="0"/>
          <w:sz w:val="22"/>
        </w:rPr>
        <w:t>• Sundaram Finance Ltd. v. NEPC India Ltd., (1999) 2 SCC 479 — recognising that interim protection under the Act is to preserve the subject-matter and efficacy of the eventual award, not to determine rights finally.</w:t>
      </w:r>
    </w:p>
    <w:p>
      <w:r>
        <w:rPr>
          <w:rFonts w:ascii="Times New Roman" w:hAnsi="Times New Roman" w:eastAsia="Times New Roman"/>
          <w:b w:val="0"/>
          <w:i w:val="0"/>
          <w:sz w:val="22"/>
        </w:rPr>
        <w:t>• Essar House Pvt. Ltd. v. Arcelor Mittal Nippon Steel India Ltd., (2022) 17 SCC 246 — while the tribunal/court is not straitjacketed by the Code of Civil Procedure, the exercise of power remains guided by these settled principles of prima facie case, balance of convenience and irreparable harm.</w:t>
      </w:r>
    </w:p>
    <w:p>
      <w:r>
        <w:rPr>
          <w:rFonts w:ascii="Times New Roman" w:hAnsi="Times New Roman" w:eastAsia="Times New Roman"/>
          <w:b w:val="0"/>
          <w:i w:val="0"/>
          <w:sz w:val="22"/>
        </w:rPr>
        <w:t>4. Paragraph 6 of the Respondents' application itself discloses that the proposed additional reply is intended to elaborate defences on the legal effect of the Articles of Association, the status of Respondent No. 2 as an alleged moiety holder, the effect of the Joint Venture Agreement dated 25.04.2014, and the maintainability of the claims. These are quintessentially final-hearing issues going to the merits of the dispute, to be tried on evidence — they have no place in a summary Section 17 proceeding, and permitting them at this stage would convert an interlocutory application into a mini-trial, defeating the very object of interim protection.</w:t>
      </w:r>
    </w:p>
    <w:p>
      <w:r>
        <w:rPr>
          <w:rFonts w:ascii="Times New Roman" w:hAnsi="Times New Roman" w:eastAsia="Times New Roman"/>
          <w:b/>
          <w:i w:val="0"/>
          <w:color w:val="8B2E2E"/>
          <w:sz w:val="26"/>
        </w:rPr>
        <w:t>D. POINT II: NO DUE DILIGENCE OR SUFFICIENT CAUSE HAS BEEN SHOWN</w:t>
      </w:r>
    </w:p>
    <w:p>
      <w:r>
        <w:rPr>
          <w:rFonts w:ascii="Times New Roman" w:hAnsi="Times New Roman" w:eastAsia="Times New Roman"/>
          <w:b w:val="0"/>
          <w:i w:val="0"/>
          <w:sz w:val="22"/>
        </w:rPr>
        <w:t>5. While Section 19(1) of the Act frees an arbitral tribunal from being bound by the Code of Civil Procedure, 1908, the underlying principle embodied in the proviso to Order VI Rule 17 CPC — that a party seeking to introduce new material at a late stage must show that, despite due diligence, it could not have raised the matter earlier — reflects a basic safeguard against dilatory tactics that is equally relevant to the tribunal's exercise of its procedural discretion under Section 19(3), read with the mandate of equal treatment and full opportunity under Section 18.</w:t>
      </w:r>
    </w:p>
    <w:p>
      <w:r>
        <w:rPr>
          <w:rFonts w:ascii="Times New Roman" w:hAnsi="Times New Roman" w:eastAsia="Times New Roman"/>
          <w:b w:val="0"/>
          <w:i w:val="0"/>
          <w:sz w:val="22"/>
        </w:rPr>
        <w:t>• Kailash v. Nanhku, (2005) 4 SCC 480 — the proviso restricting late amendments is a safeguard against amendments sought merely to delay proceedings; a higher threshold of scrutiny and demonstrated due diligence is required once the matter has reached an advanced stage.</w:t>
      </w:r>
    </w:p>
    <w:p>
      <w:r>
        <w:rPr>
          <w:rFonts w:ascii="Times New Roman" w:hAnsi="Times New Roman" w:eastAsia="Times New Roman"/>
          <w:b w:val="0"/>
          <w:i w:val="0"/>
          <w:sz w:val="22"/>
        </w:rPr>
        <w:t>• Baldev Singh v. Manohar Singh, (2006) 6 SCC 498 — the relevant stage for heightened scrutiny includes the stage of final hearing and addressing of arguments, which is precisely the stage the Section 17 application has reached in the present proceedings.</w:t>
      </w:r>
    </w:p>
    <w:p>
      <w:r>
        <w:rPr>
          <w:rFonts w:ascii="Times New Roman" w:hAnsi="Times New Roman" w:eastAsia="Times New Roman"/>
          <w:b w:val="0"/>
          <w:i w:val="0"/>
          <w:sz w:val="22"/>
        </w:rPr>
        <w:t>6. The application is conspicuously silent on: (a) when and how the documents were allegedly suppressed by the Claimant; (b) the exact date and manner in which the Respondents came to know of or obtain them; (c) what steps of due diligence were taken to procure them earlier; and (d) why they could not have been produced along with the detailed reply already filed to the Section 17 application. In the absence of this foundational disclosure, no case for leave is made out.</w:t>
      </w:r>
    </w:p>
    <w:p>
      <w:r>
        <w:rPr>
          <w:rFonts w:ascii="Times New Roman" w:hAnsi="Times New Roman" w:eastAsia="Times New Roman"/>
          <w:b/>
          <w:i w:val="0"/>
          <w:color w:val="8B2E2E"/>
          <w:sz w:val="26"/>
        </w:rPr>
        <w:t>E. POINT III: THE APPLICATION IS BELATED AND AN ABUSE OF PROCESS</w:t>
      </w:r>
    </w:p>
    <w:p>
      <w:r>
        <w:rPr>
          <w:rFonts w:ascii="Times New Roman" w:hAnsi="Times New Roman" w:eastAsia="Times New Roman"/>
          <w:b w:val="0"/>
          <w:i w:val="0"/>
          <w:sz w:val="22"/>
        </w:rPr>
        <w:t>7. The Tribunal was constituted on 07.08.2024. The Respondents filed a comprehensive Statement of Defence and thereafter a detailed reply to the Section 17 application, having had full and ample opportunity to place all facts and documents on record. The present application comes nearly two years later, on 12.06.2026, precisely when the Section 17 application is ripe for final arguments — a timing that speaks for itself and is consistent only with an intention to derail or substantially delay adjudication of the urgent interim application.</w:t>
      </w:r>
    </w:p>
    <w:p>
      <w:r>
        <w:rPr>
          <w:rFonts w:ascii="Times New Roman" w:hAnsi="Times New Roman" w:eastAsia="Times New Roman"/>
          <w:b w:val="0"/>
          <w:i w:val="0"/>
          <w:sz w:val="22"/>
        </w:rPr>
        <w:t>8. The Preamble to the Act and the scheme of Sections 18 and 19 recognise speedy, fair and cost-effective resolution as the central object of arbitration. The wide procedural discretion conferred on the Tribunal under Section 19(3) must be exercised reasonably and in furtherance of that object — equality of opportunity under Section 18 is not a licence for open-ended, repeated rounds of pleadings calculated to hold up proceedings.</w:t>
      </w:r>
    </w:p>
    <w:p>
      <w:r>
        <w:rPr>
          <w:rFonts w:ascii="Times New Roman" w:hAnsi="Times New Roman" w:eastAsia="Times New Roman"/>
          <w:b/>
          <w:i w:val="0"/>
          <w:color w:val="8B2E2E"/>
          <w:sz w:val="26"/>
        </w:rPr>
        <w:t>F. POINT IV: THE APPLICATION IS REDUNDANT AND UNNECESSARY</w:t>
      </w:r>
    </w:p>
    <w:p/>
    <w:p>
      <w:r>
        <w:rPr>
          <w:rFonts w:ascii="Times New Roman" w:hAnsi="Times New Roman" w:eastAsia="Times New Roman"/>
          <w:b w:val="0"/>
          <w:i w:val="0"/>
          <w:sz w:val="22"/>
        </w:rPr>
        <w:t>9. The Respondents have, on their own showing, already taken out a separate application for production of the very same documents. That application, if maintainable, can be heard and decided on its own merits without in any manner holding up or delaying the hearing and disposal of the urgent Section 17 application. The present application seeking leave to file an additional reply is therefore wholly unnecessary and duplicative, and appears calculated to create a parallel track for placing the same material on record without awaiting the outcome of the production application — itself indicative of want of bona fides.</w:t>
      </w:r>
    </w:p>
    <w:p>
      <w:r>
        <w:rPr>
          <w:rFonts w:ascii="Times New Roman" w:hAnsi="Times New Roman" w:eastAsia="Times New Roman"/>
          <w:b/>
          <w:i w:val="0"/>
          <w:color w:val="8B2E2E"/>
          <w:sz w:val="26"/>
        </w:rPr>
        <w:t>G. POINT V: BALANCE OF CONVENIENCE AND COMPARATIVE PREJUDICE FAVOUR REJECTION</w:t>
      </w:r>
    </w:p>
    <w:p>
      <w:r>
        <w:rPr>
          <w:rFonts w:ascii="Times New Roman" w:hAnsi="Times New Roman" w:eastAsia="Times New Roman"/>
          <w:b w:val="0"/>
          <w:i w:val="0"/>
          <w:sz w:val="22"/>
        </w:rPr>
        <w:t>10. No prejudice, much less irreparable prejudice, would be caused to the Respondents if the application is rejected — their Statement of Defence, their detailed reply already on record, and the pending production application (if pursued) adequately protect their position. Conversely, the Claimant's Section 17 application seeks protective and preservative interim relief; any further delay in its hearing and disposal risks rendering it infructuous and causing prejudice that cannot be adequately compensated in monetary terms. The balance of convenience and the comparative-prejudice test, integral to the triple-test framework applicable to interim relief, therefore weigh decisively against grant of leave.</w:t>
      </w:r>
    </w:p>
    <w:p>
      <w:r>
        <w:rPr>
          <w:rFonts w:ascii="Times New Roman" w:hAnsi="Times New Roman" w:eastAsia="Times New Roman"/>
          <w:b/>
          <w:i w:val="0"/>
          <w:color w:val="8B2E2E"/>
          <w:sz w:val="26"/>
        </w:rPr>
        <w:t>H. POINT VI: INTERNAL INCONSISTENCY REINFORCES WANT OF BONA FIDES</w:t>
      </w:r>
    </w:p>
    <w:p>
      <w:r>
        <w:rPr>
          <w:rFonts w:ascii="Times New Roman" w:hAnsi="Times New Roman" w:eastAsia="Times New Roman"/>
          <w:b w:val="0"/>
          <w:i w:val="0"/>
          <w:sz w:val="22"/>
        </w:rPr>
        <w:t>11. Paragraph 1 of the application itself erroneously refers to “Mr. Pascoal Trindade, the Claimant”, directly contrary to the cause title, where Vikram Shah is arrayed as the Claimant. This is not a trivial slip; it reflects the casual and non-serious manner in which the application has been prepared, and reinforces the inference that it has been filed without proper application of mind and principally to delay the proceedings.</w:t>
      </w:r>
    </w:p>
    <w:p>
      <w:r>
        <w:rPr>
          <w:rFonts w:ascii="Times New Roman" w:hAnsi="Times New Roman" w:eastAsia="Times New Roman"/>
          <w:b/>
          <w:i w:val="0"/>
          <w:color w:val="8B2E2E"/>
          <w:sz w:val="26"/>
        </w:rPr>
        <w:t>I. PRAYER</w:t>
      </w:r>
    </w:p>
    <w:p>
      <w:r>
        <w:rPr>
          <w:rFonts w:ascii="Times New Roman" w:hAnsi="Times New Roman" w:eastAsia="Times New Roman"/>
          <w:b w:val="0"/>
          <w:i w:val="0"/>
          <w:sz w:val="22"/>
        </w:rPr>
        <w:t>12. For the reasons set out above and in the Claimant's Reply dated 07.07.2026, it is most respectfully submitted that this Hon'ble Tribunal be pleased to:</w:t>
      </w:r>
    </w:p>
    <w:p>
      <w:r>
        <w:rPr>
          <w:rFonts w:ascii="Times New Roman" w:hAnsi="Times New Roman" w:eastAsia="Times New Roman"/>
          <w:b w:val="0"/>
          <w:i w:val="0"/>
          <w:sz w:val="22"/>
        </w:rPr>
        <w:t>- dismiss the application dated 12.06.2026 filed by Respondent Nos. 1, 2 and 3 seeking leave to file an additional reply, with exemplary costs;</w:t>
      </w:r>
    </w:p>
    <w:p/>
    <w:p>
      <w:r>
        <w:rPr>
          <w:rFonts w:ascii="Times New Roman" w:hAnsi="Times New Roman" w:eastAsia="Times New Roman"/>
          <w:b w:val="0"/>
          <w:i w:val="0"/>
          <w:sz w:val="22"/>
        </w:rPr>
        <w:t>• direct that the Claimant's application under Section 17 of the Act be heard and finally disposed of expeditiously on the basis of the pleadings, documents and material already on record; and</w:t>
      </w:r>
    </w:p>
    <w:p>
      <w:r>
        <w:rPr>
          <w:rFonts w:ascii="Times New Roman" w:hAnsi="Times New Roman" w:eastAsia="Times New Roman"/>
          <w:b w:val="0"/>
          <w:i w:val="0"/>
          <w:sz w:val="22"/>
        </w:rPr>
        <w:t>• pass such further orders as this Hon'ble Tribunal may deem fit and proper in the facts and circumstances of the case.</w:t>
      </w:r>
    </w:p>
    <w:p>
      <w:r>
        <w:rPr>
          <w:rFonts w:ascii="Times New Roman" w:hAnsi="Times New Roman" w:eastAsia="Times New Roman"/>
          <w:b w:val="0"/>
          <w:i w:val="0"/>
          <w:sz w:val="22"/>
        </w:rPr>
        <w:t>Advocate for the Claimant</w:t>
      </w:r>
    </w:p>
    <w:p/>
    <w:p>
      <w:r>
        <w:rPr>
          <w:rFonts w:ascii="Times New Roman" w:hAnsi="Times New Roman" w:eastAsia="Times New Roman"/>
          <w:b w:val="0"/>
          <w:i w:val="0"/>
          <w:sz w:val="22"/>
        </w:rPr>
        <w:t>6</w:t>
      </w:r>
    </w:p>
    <w:sectPr w:rsidR="00FC693F" w:rsidRPr="0006063C" w:rsidSect="00034616">
      <w:headerReference w:type="default" r:id="rId9"/>
      <w:footerReference w:type="default" r:id="rId10"/>
      <w:pgSz w:w="11906" w:h="16838"/>
      <w:pgMar w:top="1247" w:right="1247" w:bottom="1247" w:left="124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eastAsia="Times New Roman"/>
        <w:b w:val="0"/>
        <w:i/>
        <w:color w:val="8B2E2E"/>
        <w:sz w:val="18"/>
      </w:rPr>
      <w:t xml:space="preserve">transcription, not a finding  ·  </w:t>
    </w:r>
    <w:r>
      <w:rPr>
        <w:rFonts w:ascii="Times New Roman" w:hAnsi="Times New Roman" w:eastAsia="Times New Roman"/>
        <w:b w:val="0"/>
        <w:i w:val="0"/>
        <w:color w:val="8B2E2E"/>
        <w:sz w:val="18"/>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rPr>
        <w:rFonts w:ascii="Times New Roman" w:hAnsi="Times New Roman" w:eastAsia="Times New Roman"/>
        <w:b w:val="0"/>
        <w:i/>
        <w:color w:val="8B2E2E"/>
        <w:sz w:val="18"/>
      </w:rPr>
      <w:t>Mr. Vikram Shah v. Mrs. Riva Trindade &amp; Ors.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line="240" w:lineRule="auto"/>
    </w:pPr>
    <w:rPr>
      <w:rFonts w:ascii="Times New Roman" w:hAnsi="Times New Roman"/>
      <w:color w:val="1C1612"/>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