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Order (Section 16 Dismissed) dt 01.05.26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Order (Section 16 Dismissed) dt 01.05.26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Order (Section 16 Dismissed) dt 01.05.26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13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Section 16/Order (Section 16 Dismissed) dt 01.05.26.pdf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`a31c3af2d128b29cad41ee51f61c692853e5c07a35f5532b303d818704cd6c5f`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Order (Section 16 Dismissed) dt 01.05.26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1-13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1-13 --&gt;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ARBITRAL TRIBUNAL COMPRISING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THE SOLE ARBITRATOR SENIOR ADV. NITIN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SARDESSAI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IN THE MATTER OF: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   …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V/s.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&amp; 3 Ors.                                …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Appearances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K. Noorani present for the Claimant.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S. Desai present with Adv. Jatin Ramaiya and Adv. Omkar Thakur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Respondent No. 1, 2 &amp; 3. Mr. Riva Trindade present.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Adv. E. Kotwal present via Video Conference with Adv. S. Kamat who was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present physically for Respondent No. 4. Mr. Sadarangani present via Video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Conference.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ORDER DATED 1st May, 2026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  This Order shall dispose of Application under Section 16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Arbitration &amp; Conciliation Act, 1996 dated 14.03.2026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Respondent No.2 calling in question the arbitrability of the dispute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referred to this Tribunal and / or the jurisdiction of this Tribunal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decide the dispute referred to it by Order dated 07.08.2024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passed by the Hon’ble High Court of Bombay at Goa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Application for Appointment of Arbitrator No. 13 of 2024.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It is the case of the Respondent No.2 that the claim of the original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Claimant is a claim in rem as the dispute requires determination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title, character, status and rights of the parties to the subject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Property and as such is non-arbitrable by any forum other than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civil court of competent jurisdiction. It is also argued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No.2 is not an heir of late Shri Pascoale Trinidade.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she being a moiety was not party to the Articles of Association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dated 01.04.2013, and as such, Respondent No.2 cannot be bound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by these arbitration proceedings.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The said Application has been replied to by the original 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by filing Reply dated 10.04.2026 and original Respondent no.4 vide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Reply sworn on 08.04.2026.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It is the objection of the Respondent No.4 that there is gross delay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sans any justification for the same in filing the Application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Section 16 and that a plea that the Arbitral Tribunal has no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3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jurisdiction has to be raised not later than submission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statement of defence in terms of Section 16(2). It is further pleaded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that the original Respondent No.2 i.e. the Applicant herein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alongwith original Respondent Nos. 1 and 3 has acquiescenced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consented to the jurisdiction of this Tribunal by participating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 the proceedings before it including by filing an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under Section 17. In short, they have pleaded waiver on the part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Respondent No.2.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The oral arguments of all the parties concerned were heard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10.04.2026. On the conclusion of the same, the Respondent No.2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desired to file written submissions. The Respondent No.4 also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undertook to file written submission / synopsis thereafter.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same was granted by the Tribunal. However, by email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21.04.2026, the Respondent No.2 through their lawyer requested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for further time to file the same. The written synopsis was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ultimately filed on 23.04.2026. In view of the extension of time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which was acceded to by this Tribunal, the time for written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arguments in reply by the original Respondent No.4 was also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extended. The same came to be filed on 28.04.2026. The original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4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Claimant had conveyed to the Tribunal that no written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submissions would be filed on their behalf.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  Oral arguments were heard on behalf of all the parties through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their respective Counsel. Mr. Shivan Dessai on behalf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No.2 submitted that the claim raised is not arbitrable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as it essentially requires this Tribunal to decide title of the parties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to the suit property. Consequently, making it a declaration in rem.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Mr. Dessai cited Vidya Drolia v. Durga Trading Corporation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(2021) 2 SCC 1 ; Vishram Prabat v. M/s. Shruti Builders &amp; Ors 1999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SCCOnline Bom 434 ; Bharat Sanchar Nigam Ltd. &amp; Anr. 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Motorola India Pvt. Ltd., (2009) 2 SCC 337 authorities to buttress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proposition that an arbitrator lacks jurisdiction to decide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issue in rem. Mr. Dessai also argued that the application filed under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Section 16 is by the wife of late Shri Pascoale Trinidade and is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moiety. The Respondent No.2 not being a party nor a signatory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arbitration agreement as found in Articles of Association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01.04.2013 (“AOA”) is not bound by the arbitration, and in any case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terms of the said AOA are not binding on her. In the course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oral arguments, a notice dated 28.02.2024 was produced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record to show the invocation of the arbitration. The said notice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5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was taken on record although it did not form part of the original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record. The same was pursuant to No-Objection being given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other parties.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7.   Mr. Kotwal, appearing on behalf of the Respondent No.4, had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considerable quarrel with the application under Section 16,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objected to the same being filed at a belated stage. He argued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there was no justification to file such an application at a very late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stage, in the absence of non-arbitrability, having not been raised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 objection at the time the Statement of Defence was first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presented. He laboured enough to demonstrate the conduct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No.2 as also 1 and 3, in the course of these 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proceedings, and submitted that it was a clear case of waiver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acquiescence. In reply to the submission on the aspect of non-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arbitrability of the dispute, he argued that the dispute does not call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for a decision in rem as it is entirely between the parties to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arbitration. As far as objection regards non-binding nature of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arbitration on the Respondent No.2, he invited my attention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arbitration clause to show that all disputes between the parties are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arbitrable. He relied on MSP Infrastructure Ltd. v. Madhya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Pradesh Road Development Corporation Ltd. (2015) 13 SCC 713 ;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6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Vidyavati Construction Co. v. Union of India (2025) 5 SCC 347 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Prasun Roy v. Calcutta Metropolitan Development Authority &amp;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Anr. (1987) 4 SCC 217 ; Agri Gold Exims Ltd. v. Sri Lakshmi Knits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&amp; Wovens &amp; Ors. (2007) 3 SCC 686; Ajay Madusudan Patel 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Jyotrindra S. Patel (2025) 2 SCC 147.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8.   Advocate Noorani, on behalf of the original Claimant, adopted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arguments of Advocate Kotwal, and further went on to add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the Respondent No.2 is in fact party to the Joint Venture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Agreement dated 25.04.2014, and that she is a Power of Attorney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of her husband, and jointly has 37.85% share in the Agreement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Partnership namely M/s. PVM Associates. He further submitted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that the arbitration clause of the said agreement clearly binds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parties, and that the term Vendors mentioned in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agreement shall also include the wife i.e. Respondent No.2.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9.   I have considered the material on record and the eloquent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submissions of the Counsel appearing for the respective parties.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Dealing with the submissions of Mr. Kotwal that objections raised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in Section 16 cannot be raised at a belated stage by the Respondent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No.2 for not having raised at the time of presenting the defence.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7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This argument is being referred to only to be rejected.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Statement of Defence to the Statement of Claim was filed jointly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Respondent Nos. 1, 2 and 3 dated 07.03.2025. The objection 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regards non-arbitrability has been raised as a preliminary objection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at Para B. It has to be borne in mind that the Tribunal persuaded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parties concerned to amicably settle the matter. It is pursuant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to the request of this Tribunal that the Claimant engaged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settlement talks with Respondent Nos. 1, 2 and 3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Respondent No.4. The records further bare that the parties had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made a sincere effort and required a number of sittings.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participation of the Respondent No.2 in these proceedings and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settlement talks cannot be considered adversely against them,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it will be unfair to treat the said participation as a waiver rendering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them incapable of filing objections under Section 16. The Tribunal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therefore rejects the objections as regards maintainability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objections under Section 16.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10.   The next issue is as regards the Respondent No.2 not being a party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to the AOA dated 01.04.2013 and as such not being bound by this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arbitration.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8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11.   It is noted that vide Application under Section 16, it is the case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Respondent No.2 that she was married to late Pacoale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Trinidade under the regime of communion of assets, and being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moiety holder was a co-holder of the subject-property, and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rights, entitlement, title, interest of Respondent No.2 were never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subject-matter of the AOA. It has also been pleaded that being so,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the interest, rights and title of the Respondent No.2 cannot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considered as the subject-matter of this arbitration. The Tribunal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finds no merits in this argument. In terms of Section 15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Portuguese    Commercial      Code,    the   husband     being  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administrator of the property can deal with the co-ownership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property i.e. even the portion belonging to the moiety for any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business / commercial aspect if the transaction is for, on behalf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for the benefit of the family. In such an eventuality, the consent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behalf of the wife is deemed. Reference may be made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judgment reported in the case of Antoneta Cicilia Fernandes v.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Rita Maria Fernandes &amp; Ors, 1996 (3) Bom.C.R 10.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•      From the records before the Tribunal, it is clear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Respondent No.2 is a veritable party. Respondent No.2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coupled with Respondent Nos. 1 and 3 have filed a common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9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Statement of Defence. There is no plea raised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Respondent No.2 pleading ignorance of the 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agreement and / or AOA dated 01.04.2013. There is no plea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that Respondent No.2 had objected to the signing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AOA by the late Pascoale. Respondent No.2 has also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pleaded that the AOA in dispute is not a commercial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transaction and / or the same was not for the benefit for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family of the late Pascoale. Further, it is clear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Respondent No.2 is a party to Joint-Venture Agreement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25.04.2014, as also she is a power of attorney of her husband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and jointly has 37.85% share in Messrs PVN Associates.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12.   The Tribunal will finally deal with the argument as regards non-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arbitrability as the dispute requires a decision in rem. It must be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noted that a right in rem is a right which is exercised against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world at large, while a right in personam is an interest protected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against certain specific individuals. If a dispute decides the rights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of the parties to an agreement, it is a dispute that decides rights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personam. Merely, because of the fact that while deciding such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right in personam, the Tribunal has to dwell upon certain aspects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10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which border, by inference, on declaration by rem will not make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issue non-arbitrable.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•      There can’t be any quarrel with the proposition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generally it is not within the jurisdiction of an arbitrator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decide the rights in rem. This however, is not an inflexible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rule. It is an equally established principle of law that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subordinate rights in personam arising out of rights in rem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are arbitrable. At this juncture it would be worth quoting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from the judgment of Vidya Drolia (supra):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“48. A judgment in rem determines the status of a person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or thing as distinct from the particular interest in it of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party to the litigation; and such a judgment is conclusive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evidence for and against all persons whether parties,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privies or strangers of the matter actually decided. Such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judgment “settles the destiny of the res itself” and binds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all persons claiming an interest in the property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inconsistent with the judgment even though pronounced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in their absence. [ G.C. Cheshire &amp; P.M. North, Private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International Law, 12th Edn. by North &amp; Fawcett (Eds.)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(London : Butterworths, 1992), p. 362.] By contrast,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judgment in personam, “although it may concern a res,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merely determines the rights of the litigants inter se to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res”. [ G.C. Cheshire &amp; P.M. North, Private International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11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Law, 12th Edn. by North &amp; Fawcett (Eds.) (London :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Butterworths, 1992), p. 362.] Distinction between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judgments in rem and judgments in personam turns 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their power as res judicata, [ G.C. Cheshire &amp; P.M. North,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Private International Law, 12th Edn. by North &amp; Fawcett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(Eds.) (London : Butterworths, 1992).] i.e. judgment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rem would operate as res judicata against the world,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judgment in personam would operate as res judicata only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against the parties in dispute. Use of expressions “rights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in rem” and “rights in personam” may not be correct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determining non-arbitrability because of the interplay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between rights in rem and rights in personam. Many 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times, a right in rem results in an enforceable right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personam. Booz Allen &amp; Hamilton Inc. [Booz Allen &amp;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Hamilton Inc. v. SBI Home Finance Ltd., (2011) 5 SCC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532 : (2011) 2 SCC (Civ) 781] refers to the statement by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Mustill and Boyd that the subordinate rights in personam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derived from rights in rem can be ruled upon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arbitrators, which is apposite. Therefore, a claim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infringement of copyright against a particular person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arbitrable, though in some manner the arbitrator would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examine the right to copyright, a right in rem. Arbitration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by necessary implication excludes actions in rem.”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13.   A look at the Statement of Claim clearly demonstrates that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Claimant is seeking compensation / damages towards certain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12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losses that has incurred by the Claimant. There is also a prayer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partition and valuing the property. Certain other incidental claims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are also being made. It is to be noted that the entire claim before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this Tribunal is based on a dispute that has arisen between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parties stemming out of AOA dated 01.04.2013. Clause 35, which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is the arbitration clause in the said agreement, clearly demonstrates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that any dispute between the members of the association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between the members and the legal heirs of the association 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between legal heirs themselves are to be adjudicated by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arbitration.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14.   To decide the dispute as raised by the Claimant, and consider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various prayers as prayed for in their Statement of Claim dated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22.01.2025 there is no necessity to decide the title as regards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subject-property. The AOA clearly states that it was a commercial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transaction between the parties thereto and the capital that has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been contributed by each of the parties. The AOA further makes it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clear, the profit and loss ratio of the said parties. The claim as filed,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is to make good the losses, caused by the Respondent Nos. 1, 2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3 by their conduct as pleaded by the Claimant, although one of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prayers asks for a partition. There is no prayer for declaration of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13 of 13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title. The Tribunal is of the firm opinion that the present dispute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can be decided without even touching upon the title to the said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property. As such, a decision to be given by this Tribunal will not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be a decision in rem. It shall decide the rights of the parties 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personam. And as such, the Application under Section 16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dismissed.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15.   The matter is now fixed for further proceedings on 13.06.2026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arguments on the Application under Section 17 filed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Claimant as also the Respondent Nos. 1, 2 and 3.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                           Sr. Adv. Nitin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 01.05.2026         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