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PVM Associates Articles of Association dt 01.04.13 (Certified Copy)</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PVM Associates Articles of Association dt 01.04.13 (Certified Copy)</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PVM Associates Articles of Association dt 01.04.13 (Certified Copy)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18  </w:t>
      </w:r>
    </w:p>
    <w:p>
      <w:r>
        <w:rPr>
          <w:rFonts w:ascii="Times New Roman" w:hAnsi="Times New Roman" w:eastAsia="Times New Roman"/>
          <w:b w:val="0"/>
          <w:i w:val="0"/>
          <w:sz w:val="22"/>
        </w:rPr>
        <w:t xml:space="preserve">Source file: Imp. Documents/PVM Associates Articles of Association dt 01.04.13 (Certified Copy).pdf  </w:t>
      </w:r>
    </w:p>
    <w:p>
      <w:r>
        <w:rPr>
          <w:rFonts w:ascii="Times New Roman" w:hAnsi="Times New Roman" w:eastAsia="Times New Roman"/>
          <w:b w:val="0"/>
          <w:i w:val="0"/>
          <w:sz w:val="22"/>
        </w:rPr>
        <w:t>SHA-256: `b987fb8dfaa88381f5847115339041399ab074d60aee461f32f4630cb65504cc`</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18-page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1-17</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(The SCHEDULE I PROPERTY hereinabove referred to)</w:t>
            </w:r>
          </w:p>
        </w:tc>
        <w:tc>
          <w:tcPr>
            <w:tcW w:type="dxa" w:w="3137"/>
            <w:shd w:fill="F4EEE4" w:val="clear"/>
          </w:tcPr>
          <w:p>
            <w:r>
              <w:rPr>
                <w:rFonts w:ascii="Times New Roman" w:hAnsi="Times New Roman" w:eastAsia="Times New Roman"/>
                <w:b w:val="0"/>
                <w:i w:val="0"/>
                <w:color w:val="1C1612"/>
                <w:sz w:val="20"/>
              </w:rPr>
              <w:t>18</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SCHEDULE-2</w:t>
            </w:r>
          </w:p>
        </w:tc>
        <w:tc>
          <w:tcPr>
            <w:tcW w:type="dxa" w:w="3137"/>
            <w:shd w:fill="FFFFFF" w:val="clear"/>
          </w:tcPr>
          <w:p>
            <w:r>
              <w:rPr>
                <w:rFonts w:ascii="Times New Roman" w:hAnsi="Times New Roman" w:eastAsia="Times New Roman"/>
                <w:b w:val="0"/>
                <w:i w:val="0"/>
                <w:color w:val="1C1612"/>
                <w:sz w:val="20"/>
              </w:rPr>
              <w:t>19</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(The SCHEDULE II PROPERTY hereinabove referred to)</w:t>
            </w:r>
          </w:p>
        </w:tc>
        <w:tc>
          <w:tcPr>
            <w:tcW w:type="dxa" w:w="3137"/>
            <w:shd w:fill="F4EEE4" w:val="clear"/>
          </w:tcPr>
          <w:p>
            <w:r>
              <w:rPr>
                <w:rFonts w:ascii="Times New Roman" w:hAnsi="Times New Roman" w:eastAsia="Times New Roman"/>
                <w:b w:val="0"/>
                <w:i w:val="0"/>
                <w:color w:val="1C1612"/>
                <w:sz w:val="20"/>
              </w:rPr>
              <w:t>20</w:t>
            </w:r>
          </w:p>
        </w:tc>
      </w:tr>
    </w:tbl>
    <w:p>
      <w:r>
        <w:rPr>
          <w:rFonts w:ascii="Times New Roman" w:hAnsi="Times New Roman" w:eastAsia="Times New Roman"/>
          <w:b w:val="0"/>
          <w:i w:val="0"/>
          <w:sz w:val="22"/>
        </w:rPr>
        <w:t>&lt;!-- SECTION: clerk-note-continuous-ocr-for-a-18-page-paper-op | PDF pages 1-17 --&gt;</w:t>
      </w:r>
    </w:p>
    <w:p>
      <w:r>
        <w:rPr>
          <w:rFonts w:ascii="Times New Roman" w:hAnsi="Times New Roman" w:eastAsia="Times New Roman"/>
          <w:b w:val="0"/>
          <w:i/>
          <w:color w:val="8B2E2E"/>
          <w:sz w:val="22"/>
        </w:rPr>
        <w:t>Clerk note: continuous OCR for a 18-page paper. Open Original scans for page boundaries. Figures are as printed.</w:t>
      </w:r>
    </w:p>
    <w:p>
      <w:r>
        <w:rPr>
          <w:rFonts w:ascii="Times New Roman" w:hAnsi="Times New Roman" w:eastAsia="Times New Roman"/>
          <w:b w:val="0"/>
          <w:i w:val="0"/>
          <w:sz w:val="22"/>
        </w:rPr>
        <w:t>भारतीय गौरव न्यायिक</w:t>
      </w:r>
    </w:p>
    <w:p>
      <w:r>
        <w:rPr>
          <w:rFonts w:ascii="Times New Roman" w:hAnsi="Times New Roman" w:eastAsia="Times New Roman"/>
          <w:b w:val="0"/>
          <w:i w:val="0"/>
          <w:sz w:val="22"/>
        </w:rPr>
        <w:t>पचास</w:t>
      </w:r>
    </w:p>
    <w:p>
      <w:r>
        <w:rPr>
          <w:rFonts w:ascii="Times New Roman" w:hAnsi="Times New Roman" w:eastAsia="Times New Roman"/>
          <w:b w:val="0"/>
          <w:i w:val="0"/>
          <w:sz w:val="22"/>
        </w:rPr>
        <w:t>सेप्स</w:t>
      </w:r>
    </w:p>
    <w:p>
      <w:r>
        <w:rPr>
          <w:rFonts w:ascii="Times New Roman" w:hAnsi="Times New Roman" w:eastAsia="Times New Roman"/>
          <w:b w:val="0"/>
          <w:i w:val="0"/>
          <w:sz w:val="22"/>
        </w:rPr>
        <w:t>₹.50</w:t>
      </w:r>
    </w:p>
    <w:p>
      <w:r>
        <w:rPr>
          <w:rFonts w:ascii="Times New Roman" w:hAnsi="Times New Roman" w:eastAsia="Times New Roman"/>
          <w:b w:val="0"/>
          <w:i w:val="0"/>
          <w:sz w:val="22"/>
        </w:rPr>
        <w:t>FIFTY</w:t>
      </w:r>
    </w:p>
    <w:p>
      <w:r>
        <w:rPr>
          <w:rFonts w:ascii="Times New Roman" w:hAnsi="Times New Roman" w:eastAsia="Times New Roman"/>
          <w:b w:val="0"/>
          <w:i w:val="0"/>
          <w:sz w:val="22"/>
        </w:rPr>
        <w:t>RUPEES</w:t>
      </w:r>
    </w:p>
    <w:p>
      <w:r>
        <w:rPr>
          <w:rFonts w:ascii="Times New Roman" w:hAnsi="Times New Roman" w:eastAsia="Times New Roman"/>
          <w:b w:val="0"/>
          <w:i w:val="0"/>
          <w:sz w:val="22"/>
        </w:rPr>
        <w:t>Rs.50</w:t>
      </w:r>
    </w:p>
    <w:p>
      <w:r>
        <w:rPr>
          <w:rFonts w:ascii="Times New Roman" w:hAnsi="Times New Roman" w:eastAsia="Times New Roman"/>
          <w:b w:val="0"/>
          <w:i w:val="0"/>
          <w:sz w:val="22"/>
        </w:rPr>
        <w:t>INDIA</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गौरव GOA</w:t>
      </w:r>
    </w:p>
    <w:p>
      <w:r>
        <w:rPr>
          <w:rFonts w:ascii="Times New Roman" w:hAnsi="Times New Roman" w:eastAsia="Times New Roman"/>
          <w:b w:val="0"/>
          <w:i w:val="0"/>
          <w:sz w:val="22"/>
        </w:rPr>
        <w:t>Serial No. 332919</w:t>
      </w:r>
    </w:p>
    <w:p>
      <w:r>
        <w:rPr>
          <w:rFonts w:ascii="Times New Roman" w:hAnsi="Times New Roman" w:eastAsia="Times New Roman"/>
          <w:b w:val="0"/>
          <w:i w:val="0"/>
          <w:sz w:val="22"/>
        </w:rPr>
        <w:t>Place of Vendor. Panaji Date</w:t>
      </w:r>
    </w:p>
    <w:p>
      <w:r>
        <w:rPr>
          <w:rFonts w:ascii="Times New Roman" w:hAnsi="Times New Roman" w:eastAsia="Times New Roman"/>
          <w:b w:val="0"/>
          <w:i w:val="0"/>
          <w:sz w:val="22"/>
        </w:rPr>
        <w:t>Value of Stamp Paper</w:t>
      </w:r>
    </w:p>
    <w:p>
      <w:r>
        <w:rPr>
          <w:rFonts w:ascii="Times New Roman" w:hAnsi="Times New Roman" w:eastAsia="Times New Roman"/>
          <w:b w:val="0"/>
          <w:i w:val="0"/>
          <w:sz w:val="22"/>
        </w:rPr>
        <w:t>Name of Purchase</w:t>
      </w:r>
    </w:p>
    <w:p>
      <w:r>
        <w:rPr>
          <w:rFonts w:ascii="Times New Roman" w:hAnsi="Times New Roman" w:eastAsia="Times New Roman"/>
          <w:b w:val="0"/>
          <w:i w:val="0"/>
          <w:sz w:val="22"/>
        </w:rPr>
        <w:t>Residence Name of Partner</w:t>
      </w:r>
    </w:p>
    <w:p>
      <w:r>
        <w:rPr>
          <w:rFonts w:ascii="Times New Roman" w:hAnsi="Times New Roman" w:eastAsia="Times New Roman"/>
          <w:b w:val="0"/>
          <w:i w:val="0"/>
          <w:sz w:val="22"/>
        </w:rPr>
        <w:t>Purpose Transacting</w:t>
      </w:r>
    </w:p>
    <w:p>
      <w:r>
        <w:rPr>
          <w:rFonts w:ascii="Times New Roman" w:hAnsi="Times New Roman" w:eastAsia="Times New Roman"/>
          <w:b w:val="0"/>
          <w:i w:val="0"/>
          <w:sz w:val="22"/>
        </w:rPr>
        <w:t>Parties:</w:t>
      </w:r>
    </w:p>
    <w:p>
      <w:r>
        <w:rPr>
          <w:rFonts w:ascii="Times New Roman" w:hAnsi="Times New Roman" w:eastAsia="Times New Roman"/>
          <w:b w:val="0"/>
          <w:i w:val="0"/>
          <w:sz w:val="22"/>
        </w:rPr>
        <w:t>Sign of Shree Vener</w:t>
      </w:r>
    </w:p>
    <w:p>
      <w:r>
        <w:rPr>
          <w:rFonts w:ascii="Times New Roman" w:hAnsi="Times New Roman" w:eastAsia="Times New Roman"/>
          <w:b w:val="0"/>
          <w:i w:val="0"/>
          <w:sz w:val="22"/>
        </w:rPr>
        <w:t>Mangala N. Sankar</w:t>
      </w:r>
    </w:p>
    <w:p>
      <w:r>
        <w:rPr>
          <w:rFonts w:ascii="Times New Roman" w:hAnsi="Times New Roman" w:eastAsia="Times New Roman"/>
          <w:b w:val="0"/>
          <w:i w:val="0"/>
          <w:sz w:val="22"/>
        </w:rPr>
        <w:t>License No. AC 33291974789</w:t>
      </w:r>
    </w:p>
    <w:p>
      <w:r>
        <w:rPr>
          <w:rFonts w:ascii="Times New Roman" w:hAnsi="Times New Roman" w:eastAsia="Times New Roman"/>
          <w:b w:val="0"/>
          <w:i w:val="0"/>
          <w:sz w:val="22"/>
        </w:rPr>
        <w:t>NOTARY</w:t>
      </w:r>
    </w:p>
    <w:p>
      <w:r>
        <w:rPr>
          <w:rFonts w:ascii="Times New Roman" w:hAnsi="Times New Roman" w:eastAsia="Times New Roman"/>
          <w:b w:val="0"/>
          <w:i w:val="0"/>
          <w:sz w:val="22"/>
        </w:rPr>
        <w:t>WILFRED A. ROADITA</w:t>
      </w:r>
    </w:p>
    <w:p>
      <w:r>
        <w:rPr>
          <w:rFonts w:ascii="Times New Roman" w:hAnsi="Times New Roman" w:eastAsia="Times New Roman"/>
          <w:b w:val="0"/>
          <w:i w:val="0"/>
          <w:sz w:val="22"/>
        </w:rPr>
        <w:t>PANAJI</w:t>
      </w:r>
    </w:p>
    <w:p>
      <w:r>
        <w:rPr>
          <w:rFonts w:ascii="Times New Roman" w:hAnsi="Times New Roman" w:eastAsia="Times New Roman"/>
          <w:b w:val="0"/>
          <w:i w:val="0"/>
          <w:sz w:val="22"/>
        </w:rPr>
        <w:t>Regd No. 100/99</w:t>
      </w:r>
    </w:p>
    <w:p>
      <w:r>
        <w:rPr>
          <w:rFonts w:ascii="Times New Roman" w:hAnsi="Times New Roman" w:eastAsia="Times New Roman"/>
          <w:b w:val="0"/>
          <w:i w:val="0"/>
          <w:sz w:val="22"/>
        </w:rPr>
        <w:t>GOVT. OF GOA (INDIA)</w:t>
      </w:r>
    </w:p>
    <w:p>
      <w:r>
        <w:rPr>
          <w:rFonts w:ascii="Times New Roman" w:hAnsi="Times New Roman" w:eastAsia="Times New Roman"/>
          <w:b/>
          <w:i w:val="0"/>
          <w:color w:val="8B2E2E"/>
          <w:sz w:val="32"/>
        </w:rPr>
        <w:t>ARTICLES OF ASSOCIATION</w:t>
      </w:r>
    </w:p>
    <w:p>
      <w:r>
        <w:rPr>
          <w:rFonts w:ascii="Times New Roman" w:hAnsi="Times New Roman" w:eastAsia="Times New Roman"/>
          <w:b w:val="0"/>
          <w:i w:val="0"/>
          <w:sz w:val="22"/>
        </w:rPr>
        <w:t>THESE ARTICLES OF ASSOCIATION made this 1st day of April in</w:t>
      </w:r>
    </w:p>
    <w:p>
      <w:r>
        <w:rPr>
          <w:rFonts w:ascii="Times New Roman" w:hAnsi="Times New Roman" w:eastAsia="Times New Roman"/>
          <w:b w:val="0"/>
          <w:i w:val="0"/>
          <w:sz w:val="22"/>
        </w:rPr>
        <w:t>the year Two Thousand Thirteen</w:t>
      </w:r>
    </w:p>
    <w:p/>
    <w:p>
      <w:r>
        <w:rPr>
          <w:rFonts w:ascii="Times New Roman" w:hAnsi="Times New Roman" w:eastAsia="Times New Roman"/>
          <w:b w:val="0"/>
          <w:i w:val="0"/>
          <w:sz w:val="22"/>
        </w:rPr>
        <w:t>भारतीय नौरन्तिक</w:t>
      </w:r>
    </w:p>
    <w:p>
      <w:r>
        <w:rPr>
          <w:rFonts w:ascii="Times New Roman" w:hAnsi="Times New Roman" w:eastAsia="Times New Roman"/>
          <w:b w:val="0"/>
          <w:i w:val="0"/>
          <w:sz w:val="22"/>
        </w:rPr>
        <w:t>पचास</w:t>
      </w:r>
    </w:p>
    <w:p>
      <w:r>
        <w:rPr>
          <w:rFonts w:ascii="Times New Roman" w:hAnsi="Times New Roman" w:eastAsia="Times New Roman"/>
          <w:b w:val="0"/>
          <w:i w:val="0"/>
          <w:sz w:val="22"/>
        </w:rPr>
        <w:t>सपेंट</w:t>
      </w:r>
    </w:p>
    <w:p>
      <w:r>
        <w:rPr>
          <w:rFonts w:ascii="Times New Roman" w:hAnsi="Times New Roman" w:eastAsia="Times New Roman"/>
          <w:b w:val="0"/>
          <w:i w:val="0"/>
          <w:sz w:val="22"/>
        </w:rPr>
        <w:t>FIFTY</w:t>
      </w:r>
    </w:p>
    <w:p>
      <w:r>
        <w:rPr>
          <w:rFonts w:ascii="Times New Roman" w:hAnsi="Times New Roman" w:eastAsia="Times New Roman"/>
          <w:b w:val="0"/>
          <w:i w:val="0"/>
          <w:sz w:val="22"/>
        </w:rPr>
        <w:t>RUPEES</w:t>
      </w:r>
    </w:p>
    <w:p>
      <w:r>
        <w:rPr>
          <w:rFonts w:ascii="Times New Roman" w:hAnsi="Times New Roman" w:eastAsia="Times New Roman"/>
          <w:b w:val="0"/>
          <w:i w:val="0"/>
          <w:sz w:val="22"/>
        </w:rPr>
        <w:t>₹.50</w:t>
      </w:r>
    </w:p>
    <w:p>
      <w:r>
        <w:rPr>
          <w:rFonts w:ascii="Times New Roman" w:hAnsi="Times New Roman" w:eastAsia="Times New Roman"/>
          <w:b w:val="0"/>
          <w:i w:val="0"/>
          <w:sz w:val="22"/>
        </w:rPr>
        <w:t>Rs.50</w:t>
      </w:r>
    </w:p>
    <w:p>
      <w:r>
        <w:rPr>
          <w:rFonts w:ascii="Times New Roman" w:hAnsi="Times New Roman" w:eastAsia="Times New Roman"/>
          <w:b w:val="0"/>
          <w:i w:val="0"/>
          <w:sz w:val="22"/>
        </w:rPr>
        <w:t>INDIA</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Serial No. 332921</w:t>
      </w:r>
    </w:p>
    <w:p>
      <w:r>
        <w:rPr>
          <w:rFonts w:ascii="Times New Roman" w:hAnsi="Times New Roman" w:eastAsia="Times New Roman"/>
          <w:b w:val="0"/>
          <w:i w:val="0"/>
          <w:sz w:val="22"/>
        </w:rPr>
        <w:t>Place of Vendor, Panaji, Ont.</w:t>
      </w:r>
    </w:p>
    <w:p>
      <w:r>
        <w:rPr>
          <w:rFonts w:ascii="Times New Roman" w:hAnsi="Times New Roman" w:eastAsia="Times New Roman"/>
          <w:b w:val="0"/>
          <w:i w:val="0"/>
          <w:sz w:val="22"/>
        </w:rPr>
        <w:t>Value of Stamp Paper</w:t>
      </w:r>
    </w:p>
    <w:p>
      <w:r>
        <w:rPr>
          <w:rFonts w:ascii="Times New Roman" w:hAnsi="Times New Roman" w:eastAsia="Times New Roman"/>
          <w:b w:val="0"/>
          <w:i w:val="0"/>
          <w:sz w:val="22"/>
        </w:rPr>
        <w:t>Name of Purchase</w:t>
      </w:r>
    </w:p>
    <w:p>
      <w:r>
        <w:rPr>
          <w:rFonts w:ascii="Times New Roman" w:hAnsi="Times New Roman" w:eastAsia="Times New Roman"/>
          <w:b w:val="0"/>
          <w:i w:val="0"/>
          <w:sz w:val="22"/>
        </w:rPr>
        <w:t>Residence Name of Porter</w:t>
      </w:r>
    </w:p>
    <w:p>
      <w:r>
        <w:rPr>
          <w:rFonts w:ascii="Times New Roman" w:hAnsi="Times New Roman" w:eastAsia="Times New Roman"/>
          <w:b w:val="0"/>
          <w:i w:val="0"/>
          <w:sz w:val="22"/>
        </w:rPr>
        <w:t>Purpose Transacting</w:t>
      </w:r>
    </w:p>
    <w:p>
      <w:r>
        <w:rPr>
          <w:rFonts w:ascii="Times New Roman" w:hAnsi="Times New Roman" w:eastAsia="Times New Roman"/>
          <w:b w:val="0"/>
          <w:i w:val="0"/>
          <w:sz w:val="22"/>
        </w:rPr>
        <w:t>Parties:</w:t>
      </w:r>
    </w:p>
    <w:p>
      <w:r>
        <w:rPr>
          <w:rFonts w:ascii="Times New Roman" w:hAnsi="Times New Roman" w:eastAsia="Times New Roman"/>
          <w:b w:val="0"/>
          <w:i w:val="0"/>
          <w:sz w:val="22"/>
        </w:rPr>
        <w:t>Sign of Stamp Writer</w:t>
      </w:r>
    </w:p>
    <w:p>
      <w:r>
        <w:rPr>
          <w:rFonts w:ascii="Times New Roman" w:hAnsi="Times New Roman" w:eastAsia="Times New Roman"/>
          <w:b w:val="0"/>
          <w:i w:val="0"/>
          <w:sz w:val="22"/>
        </w:rPr>
        <w:t>Mangala N. Kauppekar</w:t>
      </w:r>
    </w:p>
    <w:p>
      <w:r>
        <w:rPr>
          <w:rFonts w:ascii="Times New Roman" w:hAnsi="Times New Roman" w:eastAsia="Times New Roman"/>
          <w:b w:val="0"/>
          <w:i w:val="0"/>
          <w:sz w:val="22"/>
        </w:rPr>
        <w:t>License No. 7C1279VEN1747/99</w:t>
      </w:r>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I. MR. PASCOAL TRINDADE, son of late Agostinho Trindade,</w:t>
      </w:r>
    </w:p>
    <w:p>
      <w:r>
        <w:rPr>
          <w:rFonts w:ascii="Times New Roman" w:hAnsi="Times New Roman" w:eastAsia="Times New Roman"/>
          <w:b w:val="0"/>
          <w:i w:val="0"/>
          <w:sz w:val="22"/>
        </w:rPr>
        <w:t>aged about 71 years, married, businessman, Indian Inhabitant</w:t>
      </w:r>
    </w:p>
    <w:p>
      <w:r>
        <w:rPr>
          <w:rFonts w:ascii="Times New Roman" w:hAnsi="Times New Roman" w:eastAsia="Times New Roman"/>
          <w:b w:val="0"/>
          <w:i w:val="0"/>
          <w:sz w:val="22"/>
        </w:rPr>
        <w:t>and having his office near N. I. O., Dona Paula, Goa, hereinafter</w:t>
      </w:r>
    </w:p>
    <w:p>
      <w:r>
        <w:rPr>
          <w:rFonts w:ascii="Times New Roman" w:hAnsi="Times New Roman" w:eastAsia="Times New Roman"/>
          <w:b w:val="0"/>
          <w:i w:val="0"/>
          <w:sz w:val="22"/>
        </w:rPr>
        <w:t>referred to as the Party of the FIRST PART (which expression</w:t>
      </w:r>
    </w:p>
    <w:p>
      <w:r>
        <w:rPr>
          <w:rFonts w:ascii="Times New Roman" w:hAnsi="Times New Roman" w:eastAsia="Times New Roman"/>
          <w:b w:val="0"/>
          <w:i w:val="0"/>
          <w:sz w:val="22"/>
        </w:rPr>
        <w:t>shall unless repugnant to the context or meaning thereof, mean</w:t>
      </w:r>
    </w:p>
    <w:p>
      <w:r>
        <w:rPr>
          <w:rFonts w:ascii="Times New Roman" w:hAnsi="Times New Roman" w:eastAsia="Times New Roman"/>
          <w:b w:val="0"/>
          <w:i w:val="0"/>
          <w:sz w:val="22"/>
        </w:rPr>
        <w:t>and include his wife Smt. Albertina Trindade, legal heirs,</w:t>
      </w:r>
    </w:p>
    <w:p>
      <w:r>
        <w:rPr>
          <w:rFonts w:ascii="Times New Roman" w:hAnsi="Times New Roman" w:eastAsia="Times New Roman"/>
          <w:b w:val="0"/>
          <w:i w:val="0"/>
          <w:sz w:val="22"/>
        </w:rPr>
        <w:t>executors and administrators);</w:t>
      </w:r>
    </w:p>
    <w:p/>
    <w:p>
      <w:r>
        <w:rPr>
          <w:rFonts w:ascii="Times New Roman" w:hAnsi="Times New Roman" w:eastAsia="Times New Roman"/>
          <w:b w:val="0"/>
          <w:i w:val="0"/>
          <w:sz w:val="22"/>
        </w:rPr>
        <w:t>2. MR. VIKRAM SHAH, son of Chinubhai Shah aged about 63 Years, Indian Inhabitant residing at 28, Capri, Manav Mandir Road, Walkeshwar, Mumbai, 400006 hereinafter referred to as the Party of the SECOND PART (which expression shall unless repugnant to the context or meaning thereof, mean and include his legal heirs, executors and administrators);</w:t>
      </w:r>
    </w:p>
    <w:p>
      <w:r>
        <w:rPr>
          <w:rFonts w:ascii="Times New Roman" w:hAnsi="Times New Roman" w:eastAsia="Times New Roman"/>
          <w:b w:val="0"/>
          <w:i w:val="0"/>
          <w:sz w:val="22"/>
        </w:rPr>
        <w:t>3. MR. MURLIDHAR SADARANGANI, son of Shamdas Jetaram Sadarangani aged about 54 Years, Indian Inhabitant residing at S-3, Eden Hall, Dr. Annie Besant Road, Worli, Mumbai - 400018, hereinafter referred to as the Party of the THIRD PART (which expression shall unless repugnant to the context or meaning thereof, mean and include his legal heirs, executors and administrators);</w:t>
      </w:r>
    </w:p>
    <w:p>
      <w:r>
        <w:rPr>
          <w:rFonts w:ascii="Times New Roman" w:hAnsi="Times New Roman" w:eastAsia="Times New Roman"/>
          <w:b w:val="0"/>
          <w:i w:val="0"/>
          <w:sz w:val="22"/>
        </w:rPr>
        <w:t>WHEREAS By the Deed of Sale dated 25th April 2006 registered with the Sub- Registrar of Assurances at IIhas, District of North Goa under serial no. 1170 dated 02.05.2006 made by and between MRS. DIONISIA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bearing S. no. 93/3 situated at BAMBOLIM known as “BAILEM FONDIEM”, “SAVELI GALI” or “OHOR” admeasuring about 26825 Sq. mtrs. within the limits of the Village Panchayat Curca, Bambolim and Talaulim, Taluka Tiswadi, Registration sub-Districts of IIhas, District of North Goa, more particularly described in the Schedule I hereunder written (for sake of brevity, hereinafter referred to as “Schedule I Property”) at or for the consideration therein paid by the Purchaser therein to the Vendor therein;</w:t>
      </w:r>
    </w:p>
    <w:p>
      <w:r>
        <w:rPr>
          <w:rFonts w:ascii="Times New Roman" w:hAnsi="Times New Roman" w:eastAsia="Times New Roman"/>
          <w:b w:val="0"/>
          <w:i w:val="0"/>
          <w:sz w:val="22"/>
        </w:rPr>
        <w:t>WHEREAS By the Deed of Sale dated 25th April 2006 registered with the Sub- Registrar of Assurances at IIhas, District of North Goa under serial no. 1170 dated 2-5-2006 made by and between MRS. DIONIS1A DIAS E MERGULHAO alias MRS. DIONISIA DIAS therein referred to as the Vendor of the One part and MR. PASCOAL TRINDADE the Party of the First Part herein, therein referred to as the Purchaser of the Second Part, the Vendor therein conveved and transferred unto the Purchaser therein (the party of the First part herein) all that piece and parcel of land bearing S. no. 93/4 situated at BAMBOLIM known as “BAILEM FONDIEM”, “SAVELI GALI” or “OHOR” admeasuring about 35075 Sq. mtrs. within the limits of the Village Panchayat Curca, Bambolim and Talaulim, Taluka Tiswadi, Registration sub-Districts of IIhas, District of North Goa, more particularly described in the Schedule II hereunder written (for sake of brevity, hereinafter referred to as “Schedule II Property”) at or for the consideration therein paid by the Purchaser therein to the Vendor therein</w:t>
      </w:r>
    </w:p>
    <w:p>
      <w:r>
        <w:rPr>
          <w:rFonts w:ascii="Times New Roman" w:hAnsi="Times New Roman" w:eastAsia="Times New Roman"/>
          <w:b w:val="0"/>
          <w:i w:val="0"/>
          <w:sz w:val="22"/>
        </w:rPr>
        <w:t>(For the sake of brevity, the properties described in the Schedule I and the Schedule II written hereunder are hereinafter collectively referred to as the “said Properties”)</w:t>
      </w:r>
    </w:p>
    <w:p>
      <w:r>
        <w:rPr>
          <w:rFonts w:ascii="Times New Roman" w:hAnsi="Times New Roman" w:eastAsia="Times New Roman"/>
          <w:b w:val="0"/>
          <w:i w:val="0"/>
          <w:sz w:val="22"/>
        </w:rPr>
        <w:t>WHEREAS the Parties of the Second Part and Third Part approached the Party of the First Part with a proposal to develop the said Properties by pooling in their resources together;</w:t>
      </w:r>
    </w:p>
    <w:p>
      <w:r>
        <w:rPr>
          <w:rFonts w:ascii="Times New Roman" w:hAnsi="Times New Roman" w:eastAsia="Times New Roman"/>
          <w:b w:val="0"/>
          <w:i w:val="0"/>
          <w:sz w:val="22"/>
        </w:rPr>
        <w:t>WHEREAS the parties hereto felt that if their resources are pooled together, they can be put to greater common advantage and accordingly party of the Second &amp; Third part advanced a sum of Rs.71,00,000/- and Rs.68,50,000/- respectively to the party of the First part from time to time for the purpose of obtaining various clearances / sanctions / NOCs / license and payment towards legal and professional charges.</w:t>
      </w:r>
    </w:p>
    <w:p>
      <w:r>
        <w:rPr>
          <w:rFonts w:ascii="Times New Roman" w:hAnsi="Times New Roman" w:eastAsia="Times New Roman"/>
          <w:b w:val="0"/>
          <w:i w:val="0"/>
          <w:sz w:val="22"/>
        </w:rPr>
        <w:t>WHEREAS the parties hereto, after mutual discussions have agreed to associate together to form an Association of persons with a view to earn income from development and or sale of the Schedule – I and II properties and that they shall not form a partnership; and</w:t>
      </w:r>
    </w:p>
    <w:p>
      <w:r>
        <w:rPr>
          <w:rFonts w:ascii="Times New Roman" w:hAnsi="Times New Roman" w:eastAsia="Times New Roman"/>
          <w:b w:val="0"/>
          <w:i w:val="0"/>
          <w:sz w:val="22"/>
        </w:rPr>
        <w:t>WHEREAS the parties hereto deem it expedient to reduce the terms governing their association into writing;</w:t>
      </w:r>
    </w:p>
    <w:p>
      <w:r>
        <w:rPr>
          <w:rFonts w:ascii="Times New Roman" w:hAnsi="Times New Roman" w:eastAsia="Times New Roman"/>
          <w:b w:val="0"/>
          <w:i w:val="0"/>
          <w:sz w:val="22"/>
        </w:rPr>
        <w:t>AND WHEREAS it is agreed that the terms and conditions unless otherwise changed by execution of a fresh deed of articles of execution or execution of addendum to this deed of Articles of Association in writing and duly signed by all the members shall be as follows:</w:t>
      </w:r>
    </w:p>
    <w:p/>
    <w:p>
      <w:r>
        <w:rPr>
          <w:rFonts w:ascii="Times New Roman" w:hAnsi="Times New Roman" w:eastAsia="Times New Roman"/>
          <w:b w:val="0"/>
          <w:i w:val="0"/>
          <w:sz w:val="22"/>
        </w:rPr>
        <w:t>NOW THIS INDENTURE WITNESSETH AND THE PARTIES HEREBY MUTUALLY AGREE AS FOLLOWS:</w:t>
      </w:r>
    </w:p>
    <w:p>
      <w:r>
        <w:rPr>
          <w:rFonts w:ascii="Times New Roman" w:hAnsi="Times New Roman" w:eastAsia="Times New Roman"/>
          <w:b w:val="0"/>
          <w:i w:val="0"/>
          <w:sz w:val="22"/>
        </w:rPr>
        <w:t>1. The Parties hereto hereinafter are individually referred to as Member and collectively as the 'Members'. The Members have formed this Association with the common purpose of jointly developing and or otherwise selling the said Properties more particularly described in the Schedule I and Schedule II written hereunder.</w:t>
      </w:r>
    </w:p>
    <w:p>
      <w:r>
        <w:rPr>
          <w:rFonts w:ascii="Times New Roman" w:hAnsi="Times New Roman" w:eastAsia="Times New Roman"/>
          <w:b w:val="0"/>
          <w:i w:val="0"/>
          <w:sz w:val="22"/>
        </w:rPr>
        <w:t>2. This Agreement shall come into force with effect from 1st April 2013.</w:t>
      </w:r>
    </w:p>
    <w:p>
      <w:r>
        <w:rPr>
          <w:rFonts w:ascii="Times New Roman" w:hAnsi="Times New Roman" w:eastAsia="Times New Roman"/>
          <w:b w:val="0"/>
          <w:i w:val="0"/>
          <w:sz w:val="22"/>
        </w:rPr>
        <w:t>3. The activities of the Association shall be carried on under the name and style of M/s PVM Associates (hereinafter referred as 'Association').</w:t>
      </w:r>
    </w:p>
    <w:p>
      <w:r>
        <w:rPr>
          <w:rFonts w:ascii="Times New Roman" w:hAnsi="Times New Roman" w:eastAsia="Times New Roman"/>
          <w:b w:val="0"/>
          <w:i w:val="0"/>
          <w:sz w:val="22"/>
        </w:rPr>
        <w:t>4. The books of account of the Association shall be closed on 31st March 2014 for the first time and thereafter the books of accounts shall be closed on 31st March of every year.</w:t>
      </w:r>
    </w:p>
    <w:p>
      <w:r>
        <w:rPr>
          <w:rFonts w:ascii="Times New Roman" w:hAnsi="Times New Roman" w:eastAsia="Times New Roman"/>
          <w:b w:val="0"/>
          <w:i w:val="0"/>
          <w:sz w:val="22"/>
        </w:rPr>
        <w:t>5. The Office of the Association shall be situated at the office of the party of the First Part situated at Ocean Park Residency, Opp. N.I.O Colony, Dona Paula – Goa 403004 Dona Paula, Panaji – Goa, and branch offices at such other place/s as may be mutually agreed upon by the parties hereto.</w:t>
      </w:r>
    </w:p>
    <w:p>
      <w:r>
        <w:rPr>
          <w:rFonts w:ascii="Times New Roman" w:hAnsi="Times New Roman" w:eastAsia="Times New Roman"/>
          <w:b w:val="0"/>
          <w:i w:val="0"/>
          <w:sz w:val="22"/>
        </w:rPr>
        <w:t>6. The executant signatories of this Deed shall be the first members of this Association, M/s. PVM Associates. These first members may, by their unanimous decision in writing and by execution of a fresh deed of articles of execution or execution of an addendum to the Articles of Association, admit any other new members. Any individual including minor, HUF, firm, body or association of persons whether incorporated or not, trust, company, corporation, co-operative society, body corporate will be eligible to be a member of this Association. There shall be no restriction on the number of new members that may be admitted.</w:t>
      </w:r>
    </w:p>
    <w:p/>
    <w:p>
      <w:r>
        <w:rPr>
          <w:rFonts w:ascii="Times New Roman" w:hAnsi="Times New Roman" w:eastAsia="Times New Roman"/>
          <w:b w:val="0"/>
          <w:i w:val="0"/>
          <w:sz w:val="22"/>
        </w:rPr>
        <w:t>7. The capital of the Association shall be Rs.3,25,00,000/- which shall be contributed by all the three members of the Association in accordance with their respective profit sharing ratio specified in clause 14(a) of this Deed. As such the capital to be contributed by each of the three parties will be as under :-</w:t>
      </w:r>
    </w:p>
    <w:p>
      <w:r>
        <w:rPr>
          <w:rFonts w:ascii="Times New Roman" w:hAnsi="Times New Roman" w:eastAsia="Times New Roman"/>
          <w:b w:val="0"/>
          <w:i w:val="0"/>
          <w:sz w:val="22"/>
        </w:rPr>
        <w:t>1) Mr. Pascoal Trindade 1,23,01,250/- 37.85%</w:t>
      </w:r>
    </w:p>
    <w:p>
      <w:r>
        <w:rPr>
          <w:rFonts w:ascii="Times New Roman" w:hAnsi="Times New Roman" w:eastAsia="Times New Roman"/>
          <w:b w:val="0"/>
          <w:i w:val="0"/>
          <w:sz w:val="22"/>
        </w:rPr>
        <w:t>2) Mr. Vikram Shah 1,23,01,250/- 37.85%</w:t>
      </w:r>
    </w:p>
    <w:p>
      <w:r>
        <w:rPr>
          <w:rFonts w:ascii="Times New Roman" w:hAnsi="Times New Roman" w:eastAsia="Times New Roman"/>
          <w:b w:val="0"/>
          <w:i w:val="0"/>
          <w:sz w:val="22"/>
        </w:rPr>
        <w:t>3) Mr. Murlidhar Sadarangani 78,97,500/- 24.30%</w:t>
      </w:r>
    </w:p>
    <w:p>
      <w:r>
        <w:rPr>
          <w:rFonts w:ascii="Times New Roman" w:hAnsi="Times New Roman" w:eastAsia="Times New Roman"/>
          <w:b w:val="0"/>
          <w:i w:val="0"/>
          <w:sz w:val="22"/>
        </w:rPr>
        <w:t>The capital can be contributed either by cash or by way of any asset.</w:t>
      </w:r>
    </w:p>
    <w:p>
      <w:r>
        <w:rPr>
          <w:rFonts w:ascii="Times New Roman" w:hAnsi="Times New Roman" w:eastAsia="Times New Roman"/>
          <w:b w:val="0"/>
          <w:i w:val="0"/>
          <w:sz w:val="22"/>
        </w:rPr>
        <w:t>8. The Party of the First Part, by way of his share of contribution to the capital of the Association hereby brings and introduces into the Association the said Properties i.e. the properties more particularly described in the Schedule I and Schedule II written hereunder. The said Properties will be valued at Rs. 3,09,50,000/- and accordingly recorded in the books of account of the Association. The capital account of the party of the first part shall be credited by an amount of Rs.1,23,01,250/-. The balance amount of Rs.1,86,48,750/- will be credited to the current account of the party of the First Part. The said Properties having been introduced in the Association have ceased to be the personal properties of the Party of the First Part and have become the properties of the Association. The Party of the First Part now holds the said Properties for and on behalf of the Association.</w:t>
      </w:r>
    </w:p>
    <w:p>
      <w:r>
        <w:rPr>
          <w:rFonts w:ascii="Times New Roman" w:hAnsi="Times New Roman" w:eastAsia="Times New Roman"/>
          <w:b w:val="0"/>
          <w:i w:val="0"/>
          <w:sz w:val="22"/>
        </w:rPr>
        <w:t>9. The Party of the Second Part and the Party of the Third Part have financed for acquisition / development of Schedule I and II properties over the years to party of First Part and their contribution is as under:</w:t>
      </w:r>
    </w:p>
    <w:p>
      <w:r>
        <w:rPr>
          <w:rFonts w:ascii="Times New Roman" w:hAnsi="Times New Roman" w:eastAsia="Times New Roman"/>
          <w:b w:val="0"/>
          <w:i w:val="0"/>
          <w:sz w:val="22"/>
        </w:rPr>
        <w:t>Mr. Vikram Shah Rs. 71,00,000/-</w:t>
      </w:r>
    </w:p>
    <w:p>
      <w:r>
        <w:rPr>
          <w:rFonts w:ascii="Times New Roman" w:hAnsi="Times New Roman" w:eastAsia="Times New Roman"/>
          <w:b w:val="0"/>
          <w:i w:val="0"/>
          <w:sz w:val="22"/>
        </w:rPr>
        <w:t>Mr. Murlidhar Sadarangani Rs. 68,50,000/-</w:t>
      </w:r>
    </w:p>
    <w:p>
      <w:r>
        <w:rPr>
          <w:rFonts w:ascii="Times New Roman" w:hAnsi="Times New Roman" w:eastAsia="Times New Roman"/>
          <w:b w:val="0"/>
          <w:i w:val="0"/>
          <w:sz w:val="22"/>
        </w:rPr>
        <w:t>The Party of the First Part shall refund these amounts to the Party of the Second Part and the Party of the Third Part and the Party of the Second Part and the Party of the Third Part shall thereupon bring in these amounts as their contribution to the capital of the</w:t>
      </w:r>
    </w:p>
    <w:p/>
    <w:p>
      <w:r>
        <w:rPr>
          <w:rFonts w:ascii="Times New Roman" w:hAnsi="Times New Roman" w:eastAsia="Times New Roman"/>
          <w:b w:val="0"/>
          <w:i w:val="0"/>
          <w:sz w:val="22"/>
        </w:rPr>
        <w:t>It is expressly agreed that balance of capital contribution of the parties of the Second and Third Part i.e. Rs.53,01,250/- and Rs.10,47,500/- shall be made by them within 15 months of the execution of this Article of Association.</w:t>
      </w:r>
    </w:p>
    <w:p>
      <w:r>
        <w:rPr>
          <w:rFonts w:ascii="Times New Roman" w:hAnsi="Times New Roman" w:eastAsia="Times New Roman"/>
          <w:b w:val="0"/>
          <w:i w:val="0"/>
          <w:sz w:val="22"/>
        </w:rPr>
        <w:t>10. It is hereby agreed that further funds required to incur expenses for the development, execution of a project or sale of the said Properties shall be contributed by all the Parties hereto in the proportion of their respective share in profit/loss specified in the clause 14(a) or 14(b) or 14(c) or 14(d) hereinbelow, as the case may be, save and except if any funds are required to incur any expenditure / cost or to make payment for removing encumbrance, claim, demand on the said Properties by the Communidade of Bambolim then in such event all funds required for the same shall be brought in by the Parties of the First Part and Second Part equally and the Party of the Third part shall not be required to bring in any funds for the same.</w:t>
      </w:r>
    </w:p>
    <w:p>
      <w:r>
        <w:rPr>
          <w:rFonts w:ascii="Times New Roman" w:hAnsi="Times New Roman" w:eastAsia="Times New Roman"/>
          <w:b w:val="0"/>
          <w:i w:val="0"/>
          <w:sz w:val="22"/>
        </w:rPr>
        <w:t>11. The Members of the Association shall be entitled to the following rights:</w:t>
      </w:r>
    </w:p>
    <w:p>
      <w:r>
        <w:rPr>
          <w:rFonts w:ascii="Times New Roman" w:hAnsi="Times New Roman" w:eastAsia="Times New Roman"/>
          <w:b w:val="0"/>
          <w:i w:val="0"/>
          <w:sz w:val="22"/>
        </w:rPr>
        <w:t>i. Share in income, right to receive and to withdraw the said income;</w:t>
      </w:r>
    </w:p>
    <w:p>
      <w:r>
        <w:rPr>
          <w:rFonts w:ascii="Times New Roman" w:hAnsi="Times New Roman" w:eastAsia="Times New Roman"/>
          <w:b w:val="0"/>
          <w:i w:val="0"/>
          <w:sz w:val="22"/>
        </w:rPr>
        <w:t>ii. Share in the surplus or accretion or appreciation or depletion or diminution in the value of the assets or share the assets at the time of the distribution of assets in specie on the dissolution which shall be in accordance with the provisions of this Agreement;</w:t>
      </w:r>
    </w:p>
    <w:p>
      <w:r>
        <w:rPr>
          <w:rFonts w:ascii="Times New Roman" w:hAnsi="Times New Roman" w:eastAsia="Times New Roman"/>
          <w:b w:val="0"/>
          <w:i w:val="0"/>
          <w:sz w:val="22"/>
        </w:rPr>
        <w:t>iii. The Members may from time to time by unanimous decision in writing agree to increase or reduce or repay the capital; Further any such act referred to in clause (i) and (ii) above shall be in the form of a resolution in writing duly signed by all the members of this Association;</w:t>
      </w:r>
    </w:p>
    <w:p>
      <w:r>
        <w:rPr>
          <w:rFonts w:ascii="Times New Roman" w:hAnsi="Times New Roman" w:eastAsia="Times New Roman"/>
          <w:b w:val="0"/>
          <w:i w:val="0"/>
          <w:sz w:val="22"/>
        </w:rPr>
        <w:t>12. Unless the Members unanimously agree otherwise, all withdrawals by the Members shall be in proportion of their respective share in profit/loss specified in clause 15 hereinbelow.</w:t>
      </w:r>
    </w:p>
    <w:p/>
    <w:p>
      <w:r>
        <w:rPr>
          <w:rFonts w:ascii="Times New Roman" w:hAnsi="Times New Roman" w:eastAsia="Times New Roman"/>
          <w:b w:val="0"/>
          <w:i w:val="0"/>
          <w:sz w:val="22"/>
        </w:rPr>
        <w:t>RV (VIORIA)</w:t>
      </w:r>
    </w:p>
    <w:p>
      <w:r>
        <w:rPr>
          <w:rFonts w:ascii="Times New Roman" w:hAnsi="Times New Roman" w:eastAsia="Times New Roman"/>
          <w:b w:val="0"/>
          <w:i w:val="0"/>
          <w:sz w:val="22"/>
        </w:rPr>
        <w:t>14.8.</w:t>
      </w:r>
    </w:p>
    <w:p>
      <w:r>
        <w:rPr>
          <w:rFonts w:ascii="Times New Roman" w:hAnsi="Times New Roman" w:eastAsia="Times New Roman"/>
          <w:b w:val="0"/>
          <w:i w:val="0"/>
          <w:sz w:val="22"/>
        </w:rPr>
        <w:t>13. Liability of Members: Subject to the provis this Agreement, each Member shall be joint all the liabilities of the Association.</w:t>
      </w:r>
    </w:p>
    <w:p>
      <w:r>
        <w:rPr>
          <w:rFonts w:ascii="Times New Roman" w:hAnsi="Times New Roman" w:eastAsia="Times New Roman"/>
          <w:b w:val="0"/>
          <w:i w:val="0"/>
          <w:sz w:val="22"/>
        </w:rPr>
        <w:t>ions of the clause 15 of and severally liable for</w:t>
      </w:r>
    </w:p>
    <w:p>
      <w:r>
        <w:rPr>
          <w:rFonts w:ascii="Times New Roman" w:hAnsi="Times New Roman" w:eastAsia="Times New Roman"/>
          <w:b w:val="0"/>
          <w:i w:val="0"/>
          <w:sz w:val="22"/>
        </w:rPr>
        <w:t>14. It is hereby agreed that the Schedule II property be notionally be divided into three parts as under:</w:t>
      </w:r>
    </w:p>
    <w:p>
      <w:r>
        <w:rPr>
          <w:rFonts w:ascii="Times New Roman" w:hAnsi="Times New Roman" w:eastAsia="Times New Roman"/>
          <w:b w:val="0"/>
          <w:i w:val="0"/>
          <w:sz w:val="22"/>
        </w:rPr>
        <w:t>(a) Land admeasuring approximately 14,500 Sq. meters and forming a part of the Schedule II Property delineated on the plan of the Schedule II Property annexed hereto and surrounded by green colour boundary line herein referred to as the Schedule IIA Property;</w:t>
      </w:r>
    </w:p>
    <w:p>
      <w:r>
        <w:rPr>
          <w:rFonts w:ascii="Times New Roman" w:hAnsi="Times New Roman" w:eastAsia="Times New Roman"/>
          <w:b w:val="0"/>
          <w:i w:val="0"/>
          <w:sz w:val="22"/>
        </w:rPr>
        <w:t>(b) Land admeasuring approximately 13,500 Sq. meters and forming a part of the Schedule II Property delineated on the plan of the Schedule II Property annexed hereto and surrounded by red colour boundary line herein referred to as the Schedule IIB Property;</w:t>
      </w:r>
    </w:p>
    <w:p>
      <w:r>
        <w:rPr>
          <w:rFonts w:ascii="Times New Roman" w:hAnsi="Times New Roman" w:eastAsia="Times New Roman"/>
          <w:b w:val="0"/>
          <w:i w:val="0"/>
          <w:sz w:val="22"/>
        </w:rPr>
        <w:t>(c) Land admeasuring approximately 4,900 Sq. meters and forming a part of the Schedule II Property delineated on the plan of the Schedule II Property annexed hereto and surrounded by blue colour boundary line herein referred to as the Schedule IIC Property;</w:t>
      </w:r>
    </w:p>
    <w:p>
      <w:r>
        <w:rPr>
          <w:rFonts w:ascii="Times New Roman" w:hAnsi="Times New Roman" w:eastAsia="Times New Roman"/>
          <w:b w:val="0"/>
          <w:i w:val="0"/>
          <w:sz w:val="22"/>
        </w:rPr>
        <w:t>15. The profit/loss of the year shall be determined as per the prevailing accounting standards principles after meeting all the expenses, outgoings, depreciation, taxes etc. Separate accounts will be maintained in respect of development and sale of each of Schedule I, IIA, IIB &amp; IIC Properties and profit arising therefrom shall be determined each year and separate Profit and Loss and Balance Sheet shall be drawn. Such profit arrived at in respect of each of Schedule I, IIA, IIB &amp; IIC Properties shall be shared in the following ratio by the members of the Association.</w:t>
      </w:r>
    </w:p>
    <w:p>
      <w:r>
        <w:rPr>
          <w:rFonts w:ascii="Times New Roman" w:hAnsi="Times New Roman" w:eastAsia="Times New Roman"/>
          <w:b w:val="0"/>
          <w:i w:val="0"/>
          <w:sz w:val="22"/>
        </w:rPr>
        <w:t>(a) Profit/Loss arising from the development I, property shall be shared by the in the following ratio-</w:t>
      </w:r>
    </w:p>
    <w:p>
      <w:r>
        <w:rPr>
          <w:rFonts w:ascii="Times New Roman" w:hAnsi="Times New Roman" w:eastAsia="Times New Roman"/>
          <w:b w:val="0"/>
          <w:i w:val="0"/>
          <w:sz w:val="22"/>
        </w:rPr>
        <w:t>pment and sale of Schedule members of the Association</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Schedule I</w:t>
            </w:r>
          </w:p>
        </w:tc>
      </w:tr>
      <w:tr>
        <w:tc>
          <w:tcPr>
            <w:tcW w:type="dxa" w:w="3137"/>
            <w:shd w:fill="FFFFFF" w:val="clear"/>
          </w:tcPr>
          <w:p>
            <w:r>
              <w:rPr>
                <w:rFonts w:ascii="Times New Roman" w:hAnsi="Times New Roman" w:eastAsia="Times New Roman"/>
                <w:b w:val="0"/>
                <w:i w:val="0"/>
                <w:color w:val="1C1612"/>
                <w:sz w:val="20"/>
              </w:rPr>
              <w:t>i.</w:t>
            </w:r>
          </w:p>
        </w:tc>
        <w:tc>
          <w:tcPr>
            <w:tcW w:type="dxa" w:w="3137"/>
            <w:shd w:fill="FFFFFF" w:val="clear"/>
          </w:tcPr>
          <w:p>
            <w:r>
              <w:rPr>
                <w:rFonts w:ascii="Times New Roman" w:hAnsi="Times New Roman" w:eastAsia="Times New Roman"/>
                <w:b w:val="0"/>
                <w:i w:val="0"/>
                <w:color w:val="1C1612"/>
                <w:sz w:val="20"/>
              </w:rPr>
              <w:t>Mr. Pascoal Trindade</w:t>
            </w:r>
          </w:p>
        </w:tc>
        <w:tc>
          <w:tcPr>
            <w:tcW w:type="dxa" w:w="3137"/>
            <w:shd w:fill="FFFFFF" w:val="clear"/>
          </w:tcPr>
          <w:p>
            <w:r>
              <w:rPr>
                <w:rFonts w:ascii="Times New Roman" w:hAnsi="Times New Roman" w:eastAsia="Times New Roman"/>
                <w:b w:val="0"/>
                <w:i w:val="0"/>
                <w:color w:val="1C1612"/>
                <w:sz w:val="20"/>
              </w:rPr>
              <w:t>37.85%</w:t>
            </w:r>
          </w:p>
        </w:tc>
      </w:tr>
      <w:tr>
        <w:tc>
          <w:tcPr>
            <w:tcW w:type="dxa" w:w="3137"/>
            <w:shd w:fill="F4EEE4" w:val="clear"/>
          </w:tcPr>
          <w:p>
            <w:r>
              <w:rPr>
                <w:rFonts w:ascii="Times New Roman" w:hAnsi="Times New Roman" w:eastAsia="Times New Roman"/>
                <w:b w:val="0"/>
                <w:i w:val="0"/>
                <w:color w:val="1C1612"/>
                <w:sz w:val="20"/>
              </w:rPr>
              <w:t>ii.</w:t>
            </w:r>
          </w:p>
        </w:tc>
        <w:tc>
          <w:tcPr>
            <w:tcW w:type="dxa" w:w="3137"/>
            <w:shd w:fill="F4EEE4" w:val="clear"/>
          </w:tcPr>
          <w:p>
            <w:r>
              <w:rPr>
                <w:rFonts w:ascii="Times New Roman" w:hAnsi="Times New Roman" w:eastAsia="Times New Roman"/>
                <w:b w:val="0"/>
                <w:i w:val="0"/>
                <w:color w:val="1C1612"/>
                <w:sz w:val="20"/>
              </w:rPr>
              <w:t>Mr. Vikram Shah</w:t>
            </w:r>
          </w:p>
        </w:tc>
        <w:tc>
          <w:tcPr>
            <w:tcW w:type="dxa" w:w="3137"/>
            <w:shd w:fill="F4EEE4" w:val="clear"/>
          </w:tcPr>
          <w:p>
            <w:r>
              <w:rPr>
                <w:rFonts w:ascii="Times New Roman" w:hAnsi="Times New Roman" w:eastAsia="Times New Roman"/>
                <w:b w:val="0"/>
                <w:i w:val="0"/>
                <w:color w:val="1C1612"/>
                <w:sz w:val="20"/>
              </w:rPr>
              <w:t>37.85%</w:t>
            </w:r>
          </w:p>
        </w:tc>
      </w:tr>
      <w:tr>
        <w:tc>
          <w:tcPr>
            <w:tcW w:type="dxa" w:w="3137"/>
            <w:shd w:fill="FFFFFF" w:val="clear"/>
          </w:tcPr>
          <w:p>
            <w:r>
              <w:rPr>
                <w:rFonts w:ascii="Times New Roman" w:hAnsi="Times New Roman" w:eastAsia="Times New Roman"/>
                <w:b w:val="0"/>
                <w:i w:val="0"/>
                <w:color w:val="1C1612"/>
                <w:sz w:val="20"/>
              </w:rPr>
              <w:t>iii.</w:t>
            </w:r>
          </w:p>
        </w:tc>
        <w:tc>
          <w:tcPr>
            <w:tcW w:type="dxa" w:w="3137"/>
            <w:shd w:fill="FFFFFF" w:val="clear"/>
          </w:tcPr>
          <w:p>
            <w:r>
              <w:rPr>
                <w:rFonts w:ascii="Times New Roman" w:hAnsi="Times New Roman" w:eastAsia="Times New Roman"/>
                <w:b w:val="0"/>
                <w:i w:val="0"/>
                <w:color w:val="1C1612"/>
                <w:sz w:val="20"/>
              </w:rPr>
              <w:t>Mr. Muralidhan Gandhar</w:t>
            </w:r>
          </w:p>
        </w:tc>
        <w:tc>
          <w:tcPr>
            <w:tcW w:type="dxa" w:w="3137"/>
            <w:shd w:fill="FFFFFF" w:val="clear"/>
          </w:tcPr>
          <w:p>
            <w:r>
              <w:rPr>
                <w:rFonts w:ascii="Times New Roman" w:hAnsi="Times New Roman" w:eastAsia="Times New Roman"/>
                <w:b w:val="0"/>
                <w:i w:val="0"/>
                <w:color w:val="1C1612"/>
                <w:sz w:val="20"/>
              </w:rPr>
              <w:t>24.00%</w:t>
            </w:r>
          </w:p>
        </w:tc>
      </w:tr>
    </w:tbl>
    <w:p/>
    <w:p>
      <w:r>
        <w:rPr>
          <w:rFonts w:ascii="Times New Roman" w:hAnsi="Times New Roman" w:eastAsia="Times New Roman"/>
          <w:b w:val="0"/>
          <w:i w:val="0"/>
          <w:sz w:val="22"/>
        </w:rPr>
        <w:t>(b) Profit/Loss arising from the development and sale of Schedule IIA, Property shall be shared by the members of the Association in the following ratio-</w:t>
      </w:r>
    </w:p>
    <w:p>
      <w:r>
        <w:rPr>
          <w:rFonts w:ascii="Times New Roman" w:hAnsi="Times New Roman" w:eastAsia="Times New Roman"/>
          <w:b w:val="0"/>
          <w:i w:val="0"/>
          <w:sz w:val="22"/>
        </w:rPr>
        <w:t>i. Mr. Pascoal Trindade 37.85%</w:t>
      </w:r>
    </w:p>
    <w:p>
      <w:r>
        <w:rPr>
          <w:rFonts w:ascii="Times New Roman" w:hAnsi="Times New Roman" w:eastAsia="Times New Roman"/>
          <w:b w:val="0"/>
          <w:i w:val="0"/>
          <w:sz w:val="22"/>
        </w:rPr>
        <w:t>ii. Mr. Vikram Shah 37.85 %</w:t>
      </w:r>
    </w:p>
    <w:p>
      <w:r>
        <w:rPr>
          <w:rFonts w:ascii="Times New Roman" w:hAnsi="Times New Roman" w:eastAsia="Times New Roman"/>
          <w:b w:val="0"/>
          <w:i w:val="0"/>
          <w:sz w:val="22"/>
        </w:rPr>
        <w:t>iii. Mr.Murlidhar Sadarangani 24.30%</w:t>
      </w:r>
    </w:p>
    <w:p>
      <w:r>
        <w:rPr>
          <w:rFonts w:ascii="Times New Roman" w:hAnsi="Times New Roman" w:eastAsia="Times New Roman"/>
          <w:b w:val="0"/>
          <w:i w:val="0"/>
          <w:sz w:val="22"/>
        </w:rPr>
        <w:t>(c) Profit/Loss arising from the development IIB Property shall be shared by the Association in the following ratio-</w:t>
      </w:r>
    </w:p>
    <w:p>
      <w:r>
        <w:rPr>
          <w:rFonts w:ascii="Times New Roman" w:hAnsi="Times New Roman" w:eastAsia="Times New Roman"/>
          <w:b w:val="0"/>
          <w:i w:val="0"/>
          <w:sz w:val="22"/>
        </w:rPr>
        <w:t>and sale of Schedule members of the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Schedule IIB</w:t>
            </w:r>
          </w:p>
        </w:tc>
      </w:tr>
      <w:tr>
        <w:tc>
          <w:tcPr>
            <w:tcW w:type="dxa" w:w="3137"/>
            <w:shd w:fill="FFFFFF" w:val="clear"/>
          </w:tcPr>
          <w:p>
            <w:r>
              <w:rPr>
                <w:rFonts w:ascii="Times New Roman" w:hAnsi="Times New Roman" w:eastAsia="Times New Roman"/>
                <w:b w:val="0"/>
                <w:i w:val="0"/>
                <w:color w:val="1C1612"/>
                <w:sz w:val="20"/>
              </w:rPr>
              <w:t>Ⅰ.</w:t>
            </w:r>
          </w:p>
        </w:tc>
        <w:tc>
          <w:tcPr>
            <w:tcW w:type="dxa" w:w="3137"/>
            <w:shd w:fill="FFFFFF" w:val="clear"/>
          </w:tcPr>
          <w:p>
            <w:r>
              <w:rPr>
                <w:rFonts w:ascii="Times New Roman" w:hAnsi="Times New Roman" w:eastAsia="Times New Roman"/>
                <w:b w:val="0"/>
                <w:i w:val="0"/>
                <w:color w:val="1C1612"/>
                <w:sz w:val="20"/>
              </w:rPr>
              <w:t>Mr. Pascoal Trindade</w:t>
            </w:r>
          </w:p>
        </w:tc>
        <w:tc>
          <w:tcPr>
            <w:tcW w:type="dxa" w:w="3137"/>
            <w:shd w:fill="FFFFFF" w:val="clear"/>
          </w:tcPr>
          <w:p>
            <w:r>
              <w:rPr>
                <w:rFonts w:ascii="Times New Roman" w:hAnsi="Times New Roman" w:eastAsia="Times New Roman"/>
                <w:b w:val="0"/>
                <w:i w:val="0"/>
                <w:color w:val="1C1612"/>
                <w:sz w:val="20"/>
              </w:rPr>
              <w:t>49.5%</w:t>
            </w:r>
          </w:p>
        </w:tc>
      </w:tr>
      <w:tr>
        <w:tc>
          <w:tcPr>
            <w:tcW w:type="dxa" w:w="3137"/>
            <w:shd w:fill="F4EEE4" w:val="clear"/>
          </w:tcPr>
          <w:p>
            <w:r>
              <w:rPr>
                <w:rFonts w:ascii="Times New Roman" w:hAnsi="Times New Roman" w:eastAsia="Times New Roman"/>
                <w:b w:val="0"/>
                <w:i w:val="0"/>
                <w:color w:val="1C1612"/>
                <w:sz w:val="20"/>
              </w:rPr>
              <w:t>Ⅱ.</w:t>
            </w:r>
          </w:p>
        </w:tc>
        <w:tc>
          <w:tcPr>
            <w:tcW w:type="dxa" w:w="3137"/>
            <w:shd w:fill="F4EEE4" w:val="clear"/>
          </w:tcPr>
          <w:p>
            <w:r>
              <w:rPr>
                <w:rFonts w:ascii="Times New Roman" w:hAnsi="Times New Roman" w:eastAsia="Times New Roman"/>
                <w:b w:val="0"/>
                <w:i w:val="0"/>
                <w:color w:val="1C1612"/>
                <w:sz w:val="20"/>
              </w:rPr>
              <w:t>Mr. Vikram Shah</w:t>
            </w:r>
          </w:p>
        </w:tc>
        <w:tc>
          <w:tcPr>
            <w:tcW w:type="dxa" w:w="3137"/>
            <w:shd w:fill="F4EEE4" w:val="clear"/>
          </w:tcPr>
          <w:p>
            <w:r>
              <w:rPr>
                <w:rFonts w:ascii="Times New Roman" w:hAnsi="Times New Roman" w:eastAsia="Times New Roman"/>
                <w:b w:val="0"/>
                <w:i w:val="0"/>
                <w:color w:val="1C1612"/>
                <w:sz w:val="20"/>
              </w:rPr>
              <w:t>49.5%</w:t>
            </w:r>
          </w:p>
        </w:tc>
      </w:tr>
      <w:tr>
        <w:tc>
          <w:tcPr>
            <w:tcW w:type="dxa" w:w="3137"/>
            <w:shd w:fill="FFFFFF" w:val="clear"/>
          </w:tcPr>
          <w:p>
            <w:r>
              <w:rPr>
                <w:rFonts w:ascii="Times New Roman" w:hAnsi="Times New Roman" w:eastAsia="Times New Roman"/>
                <w:b w:val="0"/>
                <w:i w:val="0"/>
                <w:color w:val="1C1612"/>
                <w:sz w:val="20"/>
              </w:rPr>
              <w:t>Ⅲ.</w:t>
            </w:r>
          </w:p>
        </w:tc>
        <w:tc>
          <w:tcPr>
            <w:tcW w:type="dxa" w:w="3137"/>
            <w:shd w:fill="FFFFFF" w:val="clear"/>
          </w:tcPr>
          <w:p>
            <w:r>
              <w:rPr>
                <w:rFonts w:ascii="Times New Roman" w:hAnsi="Times New Roman" w:eastAsia="Times New Roman"/>
                <w:b w:val="0"/>
                <w:i w:val="0"/>
                <w:color w:val="1C1612"/>
                <w:sz w:val="20"/>
              </w:rPr>
              <w:t>Mr. Murlidhar Sadarangani</w:t>
            </w:r>
          </w:p>
        </w:tc>
        <w:tc>
          <w:tcPr>
            <w:tcW w:type="dxa" w:w="3137"/>
            <w:shd w:fill="FFFFFF" w:val="clear"/>
          </w:tcPr>
          <w:p>
            <w:r>
              <w:rPr>
                <w:rFonts w:ascii="Times New Roman" w:hAnsi="Times New Roman" w:eastAsia="Times New Roman"/>
                <w:b w:val="0"/>
                <w:i w:val="0"/>
                <w:color w:val="1C1612"/>
                <w:sz w:val="20"/>
              </w:rPr>
              <w:t>1.0%</w:t>
            </w:r>
          </w:p>
        </w:tc>
      </w:tr>
    </w:tbl>
    <w:p>
      <w:r>
        <w:rPr>
          <w:rFonts w:ascii="Times New Roman" w:hAnsi="Times New Roman" w:eastAsia="Times New Roman"/>
          <w:b w:val="0"/>
          <w:i w:val="0"/>
          <w:sz w:val="22"/>
        </w:rPr>
        <w:t>(d) Profit/Loss arising from the development IIC Property shall be shared by the Association in the following ratio-</w:t>
      </w:r>
    </w:p>
    <w:p>
      <w:r>
        <w:rPr>
          <w:rFonts w:ascii="Times New Roman" w:hAnsi="Times New Roman" w:eastAsia="Times New Roman"/>
          <w:b w:val="0"/>
          <w:i w:val="0"/>
          <w:sz w:val="22"/>
        </w:rPr>
        <w:t>and sale of Schedule members of the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Schedule IIC</w:t>
            </w:r>
          </w:p>
        </w:tc>
      </w:tr>
      <w:tr>
        <w:tc>
          <w:tcPr>
            <w:tcW w:type="dxa" w:w="3137"/>
            <w:shd w:fill="FFFFFF" w:val="clear"/>
          </w:tcPr>
          <w:p>
            <w:r>
              <w:rPr>
                <w:rFonts w:ascii="Times New Roman" w:hAnsi="Times New Roman" w:eastAsia="Times New Roman"/>
                <w:b w:val="0"/>
                <w:i w:val="0"/>
                <w:color w:val="1C1612"/>
                <w:sz w:val="20"/>
              </w:rPr>
              <w:t>i.</w:t>
            </w:r>
          </w:p>
        </w:tc>
        <w:tc>
          <w:tcPr>
            <w:tcW w:type="dxa" w:w="3137"/>
            <w:shd w:fill="FFFFFF" w:val="clear"/>
          </w:tcPr>
          <w:p>
            <w:r>
              <w:rPr>
                <w:rFonts w:ascii="Times New Roman" w:hAnsi="Times New Roman" w:eastAsia="Times New Roman"/>
                <w:b w:val="0"/>
                <w:i w:val="0"/>
                <w:color w:val="1C1612"/>
                <w:sz w:val="20"/>
              </w:rPr>
              <w:t>Mr. Pascoal Trindade</w:t>
            </w:r>
          </w:p>
        </w:tc>
        <w:tc>
          <w:tcPr>
            <w:tcW w:type="dxa" w:w="3137"/>
            <w:shd w:fill="FFFFFF" w:val="clear"/>
          </w:tcPr>
          <w:p>
            <w:r>
              <w:rPr>
                <w:rFonts w:ascii="Times New Roman" w:hAnsi="Times New Roman" w:eastAsia="Times New Roman"/>
                <w:b w:val="0"/>
                <w:i w:val="0"/>
                <w:color w:val="1C1612"/>
                <w:sz w:val="20"/>
              </w:rPr>
              <w:t>5%</w:t>
            </w:r>
          </w:p>
        </w:tc>
      </w:tr>
      <w:tr>
        <w:tc>
          <w:tcPr>
            <w:tcW w:type="dxa" w:w="3137"/>
            <w:shd w:fill="F4EEE4" w:val="clear"/>
          </w:tcPr>
          <w:p>
            <w:r>
              <w:rPr>
                <w:rFonts w:ascii="Times New Roman" w:hAnsi="Times New Roman" w:eastAsia="Times New Roman"/>
                <w:b w:val="0"/>
                <w:i w:val="0"/>
                <w:color w:val="1C1612"/>
                <w:sz w:val="20"/>
              </w:rPr>
              <w:t>ii.</w:t>
            </w:r>
          </w:p>
        </w:tc>
        <w:tc>
          <w:tcPr>
            <w:tcW w:type="dxa" w:w="3137"/>
            <w:shd w:fill="F4EEE4" w:val="clear"/>
          </w:tcPr>
          <w:p>
            <w:r>
              <w:rPr>
                <w:rFonts w:ascii="Times New Roman" w:hAnsi="Times New Roman" w:eastAsia="Times New Roman"/>
                <w:b w:val="0"/>
                <w:i w:val="0"/>
                <w:color w:val="1C1612"/>
                <w:sz w:val="20"/>
              </w:rPr>
              <w:t>Mr. Vikram Shah</w:t>
            </w:r>
          </w:p>
        </w:tc>
        <w:tc>
          <w:tcPr>
            <w:tcW w:type="dxa" w:w="3137"/>
            <w:shd w:fill="F4EEE4" w:val="clear"/>
          </w:tcPr>
          <w:p>
            <w:r>
              <w:rPr>
                <w:rFonts w:ascii="Times New Roman" w:hAnsi="Times New Roman" w:eastAsia="Times New Roman"/>
                <w:b w:val="0"/>
                <w:i w:val="0"/>
                <w:color w:val="1C1612"/>
                <w:sz w:val="20"/>
              </w:rPr>
              <w:t>5%</w:t>
            </w:r>
          </w:p>
        </w:tc>
      </w:tr>
      <w:tr>
        <w:tc>
          <w:tcPr>
            <w:tcW w:type="dxa" w:w="3137"/>
            <w:shd w:fill="FFFFFF" w:val="clear"/>
          </w:tcPr>
          <w:p>
            <w:r>
              <w:rPr>
                <w:rFonts w:ascii="Times New Roman" w:hAnsi="Times New Roman" w:eastAsia="Times New Roman"/>
                <w:b w:val="0"/>
                <w:i w:val="0"/>
                <w:color w:val="1C1612"/>
                <w:sz w:val="20"/>
              </w:rPr>
              <w:t>iii.</w:t>
            </w:r>
          </w:p>
        </w:tc>
        <w:tc>
          <w:tcPr>
            <w:tcW w:type="dxa" w:w="3137"/>
            <w:shd w:fill="FFFFFF" w:val="clear"/>
          </w:tcPr>
          <w:p>
            <w:r>
              <w:rPr>
                <w:rFonts w:ascii="Times New Roman" w:hAnsi="Times New Roman" w:eastAsia="Times New Roman"/>
                <w:b w:val="0"/>
                <w:i w:val="0"/>
                <w:color w:val="1C1612"/>
                <w:sz w:val="20"/>
              </w:rPr>
              <w:t>Mr. Murlidhar Sadarangani</w:t>
            </w:r>
          </w:p>
        </w:tc>
        <w:tc>
          <w:tcPr>
            <w:tcW w:type="dxa" w:w="3137"/>
            <w:shd w:fill="FFFFFF" w:val="clear"/>
          </w:tcPr>
          <w:p>
            <w:r>
              <w:rPr>
                <w:rFonts w:ascii="Times New Roman" w:hAnsi="Times New Roman" w:eastAsia="Times New Roman"/>
                <w:b w:val="0"/>
                <w:i w:val="0"/>
                <w:color w:val="1C1612"/>
                <w:sz w:val="20"/>
              </w:rPr>
              <w:t>90%</w:t>
            </w:r>
          </w:p>
        </w:tc>
      </w:tr>
    </w:tbl>
    <w:p>
      <w:r>
        <w:rPr>
          <w:rFonts w:ascii="Times New Roman" w:hAnsi="Times New Roman" w:eastAsia="Times New Roman"/>
          <w:b w:val="0"/>
          <w:i w:val="0"/>
          <w:sz w:val="22"/>
        </w:rPr>
        <w:t>Subsequent to such allotment and sharing of the profits/losses in respect of the profits of each of the schedule properties mentioned above, the Profit &amp; Loss Accounts and Balance Sheets shall be consolidated to form a consolidated Profit &amp; Loss Account and Balance Sheet of the Association.</w:t>
      </w:r>
    </w:p>
    <w:p>
      <w:r>
        <w:rPr>
          <w:rFonts w:ascii="Times New Roman" w:hAnsi="Times New Roman" w:eastAsia="Times New Roman"/>
          <w:b w:val="0"/>
          <w:i w:val="0"/>
          <w:sz w:val="22"/>
        </w:rPr>
        <w:t>16. It is hereby agreed and accepted by the Members that it shall be the equal responsibility of the Parties of the First Part and Second Part to ensure that the said Properties are free from encumbrance, claim of, demand of or from Communidade the Bambolim and if the Association is required to incur any expenditure/cost or make payment for removing any such encumbrance, claim, demand of the said Communidade the Bambolim, though forms an expenditure of the Association deductible from the profit of the Association, it shall be borne only by the Parties of the First Part and Second Part equally. Further it is agreed that if the Association is required to part with any land it shall be out of Schedule II B Property only and not out any other of part of the said Properties. Such amounts or cost of the land to the Association shall be debited to the capital account of the Parties of the First and Second Parts equally and the profit of the Association for the purposes of distribution of profit amongst Members shall be determined without deducting such amount or cost of such land to the Association.</w:t>
      </w:r>
    </w:p>
    <w:p>
      <w:r>
        <w:rPr>
          <w:rFonts w:ascii="Times New Roman" w:hAnsi="Times New Roman" w:eastAsia="Times New Roman"/>
          <w:b w:val="0"/>
          <w:i w:val="0"/>
          <w:sz w:val="22"/>
        </w:rPr>
        <w:t>17. The individual shares of the respective Members in the assets of the Association shall always be as per the profit sharing ratio specified in clause 15 (a), (b), (c) and (d) above in respect of schedule I, IIA, IIB &amp; IIC properties respectively.</w:t>
      </w:r>
    </w:p>
    <w:p>
      <w:r>
        <w:rPr>
          <w:rFonts w:ascii="Times New Roman" w:hAnsi="Times New Roman" w:eastAsia="Times New Roman"/>
          <w:b w:val="0"/>
          <w:i w:val="0"/>
          <w:sz w:val="22"/>
        </w:rPr>
        <w:t>18. On dissolution of the Association or for the purpose of dissolution, the assets as existing on the date of dissolution may be distributed in specie amongst the Members as on such date of dissolution. On dissolution, all liabilities shall be discharged or if the Members deem it necessary, they may mutually adjust and settle their rights on money value basis. The Members shall respectively be entitled to receive and be paid the capital contributed by them and the amount standing to the current account of the Members shall be returned to the respective Members of the Association and the residue and/or surplus assets shall be distributed amongst the Members in accordance with clause 17 above.</w:t>
      </w:r>
    </w:p>
    <w:p>
      <w:r>
        <w:rPr>
          <w:rFonts w:ascii="Times New Roman" w:hAnsi="Times New Roman" w:eastAsia="Times New Roman"/>
          <w:b w:val="0"/>
          <w:i w:val="0"/>
          <w:sz w:val="22"/>
        </w:rPr>
        <w:t>19. The assets of the Association may be distributed either wholly or partially at any time prior to the dissolution of the Association by a unanimous decision as writing in the form of a resolution duly signed by all the members of the Association at a duly convened meeting thereof and such distribution may be partial as to assets and also partial as to the Members or Member of the Association. It is agreed that the distribution provided hereby could be undertaken from time to time (and also in favour of any one or more number of Members).</w:t>
      </w:r>
    </w:p>
    <w:p/>
    <w:p>
      <w:r>
        <w:rPr>
          <w:rFonts w:ascii="Times New Roman" w:hAnsi="Times New Roman" w:eastAsia="Times New Roman"/>
          <w:b w:val="0"/>
          <w:i w:val="0"/>
          <w:sz w:val="22"/>
        </w:rPr>
        <w:t>20. All decisions in regard to the affairs of the Association including entering into partnership, making of investments, withdrawing of investments, starting any new business shall be taken by the unanimous decision of the Members in writing and in the form of a resolution duly signed by all the members.</w:t>
      </w:r>
    </w:p>
    <w:p>
      <w:r>
        <w:rPr>
          <w:rFonts w:ascii="Times New Roman" w:hAnsi="Times New Roman" w:eastAsia="Times New Roman"/>
          <w:b w:val="0"/>
          <w:i w:val="0"/>
          <w:sz w:val="22"/>
        </w:rPr>
        <w:t>21. The resolution of the Members may be passed at a meeting of the Members duly called or by a circular resolution. No resolution shall be valid unless it is approved and passed by all the Members unanimously. Any resolution duly signed by all the Members shall be valid as if it was passed in a meeting of the Members. A Register of Resolution shall be kept by the Association and all such resolutions shall be incorporated chronologically in such Register.</w:t>
      </w:r>
    </w:p>
    <w:p>
      <w:r>
        <w:rPr>
          <w:rFonts w:ascii="Times New Roman" w:hAnsi="Times New Roman" w:eastAsia="Times New Roman"/>
          <w:b w:val="0"/>
          <w:i w:val="0"/>
          <w:sz w:val="22"/>
        </w:rPr>
        <w:t>22. Bank Account or Bank Accounts of the Association may be opened at any time after formation of the association invariably in the name of the association i.e. M/s. PVM Associates. The operation of the bank account / accounts shall be jointly by all the three parties to this Article of Association. An authorisation to this effect shall be furnished to the bank / banks upon opening the bank account / accounts. Any modification of this clause can be made by an unanimous resolution in writing by all the members of this Association.</w:t>
      </w:r>
    </w:p>
    <w:p>
      <w:r>
        <w:rPr>
          <w:rFonts w:ascii="Times New Roman" w:hAnsi="Times New Roman" w:eastAsia="Times New Roman"/>
          <w:b w:val="0"/>
          <w:i w:val="0"/>
          <w:sz w:val="22"/>
        </w:rPr>
        <w:t>23. Any sale deed to be executed on behalf of the Association in favour of prospective purchases of plots / apartments / villas or any other property owned by the association shall be invariably signed and executed by all the Parties to this Agreement. Any modification in this clause can be made by an unanimous resolution in writing by all the members of the Association.</w:t>
      </w:r>
    </w:p>
    <w:p>
      <w:r>
        <w:rPr>
          <w:rFonts w:ascii="Times New Roman" w:hAnsi="Times New Roman" w:eastAsia="Times New Roman"/>
          <w:b w:val="0"/>
          <w:i w:val="0"/>
          <w:sz w:val="22"/>
        </w:rPr>
        <w:t>24. Proper books of accounts shall be kept as per the accounting principles wherein shall be entered all particulars of money, goods, effects, belonging to or owing to or by the Association or paid, received, sold or purchased in the course of the activity of the Association, and of all such other transactions, matters and things relating to the activities of the Association. The said books of account together with all letters, papers or writings concerning or belonging to the Association, except such are required to be kept at</w:t>
      </w:r>
    </w:p>
    <w:p/>
    <w:p>
      <w:r>
        <w:rPr>
          <w:rFonts w:ascii="Times New Roman" w:hAnsi="Times New Roman" w:eastAsia="Times New Roman"/>
          <w:b w:val="0"/>
          <w:i w:val="0"/>
          <w:sz w:val="22"/>
        </w:rPr>
        <w:t>Member shall at all times have free access to and right to inspect and make copy of the same.</w:t>
      </w:r>
    </w:p>
    <w:p>
      <w:r>
        <w:rPr>
          <w:rFonts w:ascii="Times New Roman" w:hAnsi="Times New Roman" w:eastAsia="Times New Roman"/>
          <w:b w:val="0"/>
          <w:i w:val="0"/>
          <w:sz w:val="22"/>
        </w:rPr>
        <w:t>25. No Member acting alone, without specific authorisation of all the members in writing to act on behalf of the association shall, at any time by his act or omission, ever be considered to be doing acts on behalf of any other Member or Members, so as to bring into existence, by implication or otherwise, the contract of agency between the Members, or incur any liability to the Association.</w:t>
      </w:r>
    </w:p>
    <w:p>
      <w:r>
        <w:rPr>
          <w:rFonts w:ascii="Times New Roman" w:hAnsi="Times New Roman" w:eastAsia="Times New Roman"/>
          <w:b w:val="0"/>
          <w:i w:val="0"/>
          <w:sz w:val="22"/>
        </w:rPr>
        <w:t>26. This Agreement is not intended and does not bring into existence the relationship of the partnership between the Members and is purely an Association i.e. voluntarily coming together of the Members for the purpose of earning income. No Member by this Agreement is or shall become the agent of the association or of the other Member or Members unless all the members are acting together.</w:t>
      </w:r>
    </w:p>
    <w:p>
      <w:r>
        <w:rPr>
          <w:rFonts w:ascii="Times New Roman" w:hAnsi="Times New Roman" w:eastAsia="Times New Roman"/>
          <w:b w:val="0"/>
          <w:i w:val="0"/>
          <w:sz w:val="22"/>
        </w:rPr>
        <w:t>27. Notwithstanding anything else contained in this Agreement, so long as there are at least two Members of the Association, death, retirement, insolvency liquidation, winding up, dissolution or ceasing to be a member for any reason whatsoever of a Member shall not dissolve or discontinue the Association but the surviving or continuing Members shall be entitled to continue to carry on the activities by admitting new members or member or otherwise.</w:t>
      </w:r>
    </w:p>
    <w:p>
      <w:r>
        <w:rPr>
          <w:rFonts w:ascii="Times New Roman" w:hAnsi="Times New Roman" w:eastAsia="Times New Roman"/>
          <w:b w:val="0"/>
          <w:i w:val="0"/>
          <w:sz w:val="22"/>
        </w:rPr>
        <w:t>28. In the event of the death of a member, his legal heirs will have the choice to become members of this association and their becoming members shall be automatic unless the legal heirs specifically in writing intimate the Association of their decision not to become members within a period of 2 months of the demise of the member. The legal heirs becoming members of the association will inherit all the rights and liabilities of the deceased member and also the balance standing at the capital and current accounts of the deceased member and also the share of profit or losses hither to shared by the deceased member.</w:t>
      </w:r>
    </w:p>
    <w:p/>
    <w:p>
      <w:r>
        <w:rPr>
          <w:rFonts w:ascii="Times New Roman" w:hAnsi="Times New Roman" w:eastAsia="Times New Roman"/>
          <w:b w:val="0"/>
          <w:i w:val="0"/>
          <w:sz w:val="22"/>
        </w:rPr>
        <w:t>29. Death, retirement, removal, insolvency, liquidation, winding up, dissolution or ceasing to be a member for any reason (otherwise than by reason of dissolution of this Association) the Member ceasing to be a member or in case of death of the Member his legal heirs shall be entitled to the balance standing at the capital and current account as on such date.</w:t>
      </w:r>
    </w:p>
    <w:p>
      <w:r>
        <w:rPr>
          <w:rFonts w:ascii="Times New Roman" w:hAnsi="Times New Roman" w:eastAsia="Times New Roman"/>
          <w:b w:val="0"/>
          <w:i w:val="0"/>
          <w:sz w:val="22"/>
        </w:rPr>
        <w:t>Such amount due shall be paid without interest to the legal heirs of the deceased Member or to the Member, as the case may be, within expiration of the period of 6 months from the date of death, retirement, removal, insolvency, liquidation, winding up, dissolution or member ceasing to be a Member for any reason (otherwise than by reason of dissolution of this Association).</w:t>
      </w:r>
    </w:p>
    <w:p>
      <w:r>
        <w:rPr>
          <w:rFonts w:ascii="Times New Roman" w:hAnsi="Times New Roman" w:eastAsia="Times New Roman"/>
          <w:b w:val="0"/>
          <w:i w:val="0"/>
          <w:sz w:val="22"/>
        </w:rPr>
        <w:t>However if the Association is not able to pay the balance standing at the credit of capital and current account of such members within 6 months, the member or legal heirs of the deceased member as the case may be shall be entitled to simple interest on such balance at 12% per annum till the date of payment.</w:t>
      </w:r>
    </w:p>
    <w:p>
      <w:r>
        <w:rPr>
          <w:rFonts w:ascii="Times New Roman" w:hAnsi="Times New Roman" w:eastAsia="Times New Roman"/>
          <w:b w:val="0"/>
          <w:i w:val="0"/>
          <w:sz w:val="22"/>
        </w:rPr>
        <w:t>This clause shall however not apply in case the legal heirs of the deceased member who choose to become members of the association join the association as members.</w:t>
      </w:r>
    </w:p>
    <w:p>
      <w:r>
        <w:rPr>
          <w:rFonts w:ascii="Times New Roman" w:hAnsi="Times New Roman" w:eastAsia="Times New Roman"/>
          <w:b w:val="0"/>
          <w:i w:val="0"/>
          <w:sz w:val="22"/>
        </w:rPr>
        <w:t>The remaining members may, however by their unanimous decision in writing by way of resolution, decide to pay any amount over and above the balance outstanding at the capital and current accounts of such member or legal heirs in respect of the good will of the association or the appreciation in the value of the land and assets owned by the Association. Such member or legal heirs shall however not have any right to make such claim.</w:t>
      </w:r>
    </w:p>
    <w:p>
      <w:r>
        <w:rPr>
          <w:rFonts w:ascii="Times New Roman" w:hAnsi="Times New Roman" w:eastAsia="Times New Roman"/>
          <w:b w:val="0"/>
          <w:i w:val="0"/>
          <w:sz w:val="22"/>
        </w:rPr>
        <w:t>30. No Member shall, without the unanimous consent of all other Members in writing in the form of a resolution be entitled to sell, alienate, transfer, assign, gift, mortgage or charge his right, title, interest or any part thereof in the Association as Member.</w:t>
      </w:r>
    </w:p>
    <w:p>
      <w:r>
        <w:rPr>
          <w:rFonts w:ascii="Times New Roman" w:hAnsi="Times New Roman" w:eastAsia="Times New Roman"/>
          <w:b w:val="0"/>
          <w:i w:val="0"/>
          <w:sz w:val="22"/>
        </w:rPr>
        <w:t>31. Any Member committing breach of any of the stipulations provided</w:t>
      </w:r>
    </w:p>
    <w:p/>
    <w:p>
      <w:r>
        <w:rPr>
          <w:rFonts w:ascii="Times New Roman" w:hAnsi="Times New Roman" w:eastAsia="Times New Roman"/>
          <w:b w:val="0"/>
          <w:i w:val="0"/>
          <w:sz w:val="22"/>
        </w:rPr>
        <w:t>32. Any Member or Members specifically authorised in this behalf by all the members of the association shall have all powers to file and defend suits, appeals, applications etc. to declare, sign and verify all complaints, written statements, memos of appeals, cross objections, applications, affidavits etc. and to accept writ of summons, notices etc. and to appear at any place in the Union of India before any Court, Tribunal, Tax Authority, Customs Authority, Port Authority, Government Authority, Municipal or other Local Authority or any other Authority, Officer or Officers and before all Authorities, Officers and Tribunals, Commissions and before any Registrar, Joint Registrar or sub-Registrar of Assurances at any place or places in the Union of India and to present and lodge any documents or document for registration and to admit execution thereof and to compound all suits and other proceedings and to submit all difference, disputes and/or demand to arbitration and to execute all release and discharges and to do all other things relating to the matter and funds of the Association.</w:t>
      </w:r>
    </w:p>
    <w:p>
      <w:r>
        <w:rPr>
          <w:rFonts w:ascii="Times New Roman" w:hAnsi="Times New Roman" w:eastAsia="Times New Roman"/>
          <w:b w:val="0"/>
          <w:i w:val="0"/>
          <w:sz w:val="22"/>
        </w:rPr>
        <w:t>33. All the Members may, by unanimous decision in writing, formulate a scheme or schemes for the management of the business and the property of the Association and may frame rules and regulations and from time to time to achieve the aims and objects of the Association hereby created. All the members may appoint and authorize in writing one or more out of them or any other person or persons as manager or managers to look after, and manage the affairs, activities, funds, properties of the Association in accordance with the directions given or to be given by the Members from time to time.</w:t>
      </w:r>
    </w:p>
    <w:p>
      <w:r>
        <w:rPr>
          <w:rFonts w:ascii="Times New Roman" w:hAnsi="Times New Roman" w:eastAsia="Times New Roman"/>
          <w:b w:val="0"/>
          <w:i w:val="0"/>
          <w:sz w:val="22"/>
        </w:rPr>
        <w:t>34. All the matters which are not stipulated otherwise in this Agreement shall be decided jointly by the all Members of the Association by a resolution in writing duly signed by all the members.</w:t>
      </w:r>
    </w:p>
    <w:p>
      <w:r>
        <w:rPr>
          <w:rFonts w:ascii="Times New Roman" w:hAnsi="Times New Roman" w:eastAsia="Times New Roman"/>
          <w:b w:val="0"/>
          <w:i w:val="0"/>
          <w:sz w:val="22"/>
        </w:rPr>
        <w:t>35. In the event of any dispute between the members of this association or between the members and the legal heirs of the association or between the legal heirs themselves the matter shall be referred to arbitration according to Indian Arbitration Act than in force.</w:t>
      </w:r>
    </w:p>
    <w:p/>
    <w:p>
      <w:r>
        <w:rPr>
          <w:rFonts w:ascii="Times New Roman" w:hAnsi="Times New Roman" w:eastAsia="Times New Roman"/>
          <w:b w:val="0"/>
          <w:i w:val="0"/>
          <w:sz w:val="22"/>
        </w:rPr>
        <w:t>SCHEDULE – I</w:t>
      </w:r>
    </w:p>
    <w:p>
      <w:r>
        <w:rPr>
          <w:rFonts w:ascii="Times New Roman" w:hAnsi="Times New Roman" w:eastAsia="Times New Roman"/>
          <w:b w:val="0"/>
          <w:i w:val="0"/>
          <w:sz w:val="22"/>
        </w:rPr>
        <w:t>&lt;!-- SECTION: the-schedule-i-property-hereinabove-referred-to | PDF pages 18 --&gt;</w:t>
      </w:r>
    </w:p>
    <w:p>
      <w:r>
        <w:rPr>
          <w:rFonts w:ascii="Times New Roman" w:hAnsi="Times New Roman" w:eastAsia="Times New Roman"/>
          <w:b/>
          <w:i w:val="0"/>
          <w:color w:val="8B2E2E"/>
          <w:sz w:val="26"/>
        </w:rPr>
        <w:t>(The SCHEDULE I PROPERTY hereinabove referred to)</w:t>
      </w:r>
    </w:p>
    <w:p>
      <w:r>
        <w:rPr>
          <w:rFonts w:ascii="Times New Roman" w:hAnsi="Times New Roman" w:eastAsia="Times New Roman"/>
          <w:b w:val="0"/>
          <w:i w:val="0"/>
          <w:sz w:val="22"/>
        </w:rPr>
        <w:t>All that property bearing Survey No. 93/3 situated at Village Bambolim known as “BAILEM FONDIEM”, “SAVELI GALI” or “OHOR” admeasuring 26,825 sq. mtrs. approximately within the limits of the Village Panchayat Curca, Bambolim and Talaulim, Taluka of Tiswadi, Registration sub-Districts of Ilhas, District of North Goa and bounded as follows:</w:t>
      </w:r>
    </w:p>
    <w:p>
      <w:r>
        <w:rPr>
          <w:rFonts w:ascii="Times New Roman" w:hAnsi="Times New Roman" w:eastAsia="Times New Roman"/>
          <w:b w:val="0"/>
          <w:i w:val="0"/>
          <w:sz w:val="22"/>
        </w:rPr>
        <w:t>On the North: By Plot surveyed under No.103.</w:t>
      </w:r>
    </w:p>
    <w:p>
      <w:r>
        <w:rPr>
          <w:rFonts w:ascii="Times New Roman" w:hAnsi="Times New Roman" w:eastAsia="Times New Roman"/>
          <w:b w:val="0"/>
          <w:i w:val="0"/>
          <w:sz w:val="22"/>
        </w:rPr>
        <w:t>On the South: By Plot surveyed under No.94.</w:t>
      </w:r>
    </w:p>
    <w:p>
      <w:r>
        <w:rPr>
          <w:rFonts w:ascii="Times New Roman" w:hAnsi="Times New Roman" w:eastAsia="Times New Roman"/>
          <w:b w:val="0"/>
          <w:i w:val="0"/>
          <w:sz w:val="22"/>
        </w:rPr>
        <w:t>On the East: By Plot surveyed under 93/1.</w:t>
      </w:r>
    </w:p>
    <w:p>
      <w:r>
        <w:rPr>
          <w:rFonts w:ascii="Times New Roman" w:hAnsi="Times New Roman" w:eastAsia="Times New Roman"/>
          <w:b w:val="0"/>
          <w:i w:val="0"/>
          <w:sz w:val="22"/>
        </w:rPr>
        <w:t>On the West: By the Plot of G.M.C. surveyed under Nos. 102/3 &amp; 104</w:t>
      </w:r>
    </w:p>
    <w:p>
      <w:r>
        <w:rPr>
          <w:rFonts w:ascii="Times New Roman" w:hAnsi="Times New Roman" w:eastAsia="Times New Roman"/>
          <w:b w:val="0"/>
          <w:i w:val="0"/>
          <w:sz w:val="22"/>
        </w:rPr>
        <w:t>&lt;!-- SECTION: schedule-2 | PDF pages 19 --&gt;</w:t>
      </w:r>
    </w:p>
    <w:p>
      <w:r>
        <w:rPr>
          <w:rFonts w:ascii="Times New Roman" w:hAnsi="Times New Roman" w:eastAsia="Times New Roman"/>
          <w:b/>
          <w:i w:val="0"/>
          <w:color w:val="8B2E2E"/>
          <w:sz w:val="26"/>
        </w:rPr>
        <w:t>SCHEDULE-2</w:t>
      </w:r>
    </w:p>
    <w:p>
      <w:r>
        <w:rPr>
          <w:rFonts w:ascii="Times New Roman" w:hAnsi="Times New Roman" w:eastAsia="Times New Roman"/>
          <w:b w:val="0"/>
          <w:i w:val="0"/>
          <w:sz w:val="22"/>
        </w:rPr>
        <w:t>&lt;!-- SECTION: the-schedule-ii-property-hereinabove-referred-to | PDF pages 20 --&gt;</w:t>
      </w:r>
    </w:p>
    <w:p>
      <w:r>
        <w:rPr>
          <w:rFonts w:ascii="Times New Roman" w:hAnsi="Times New Roman" w:eastAsia="Times New Roman"/>
          <w:b/>
          <w:i w:val="0"/>
          <w:color w:val="8B2E2E"/>
          <w:sz w:val="26"/>
        </w:rPr>
        <w:t>(The SCHEDULE II PROPERTY hereinabove referred to)</w:t>
      </w:r>
    </w:p>
    <w:p>
      <w:r>
        <w:rPr>
          <w:rFonts w:ascii="Times New Roman" w:hAnsi="Times New Roman" w:eastAsia="Times New Roman"/>
          <w:b w:val="0"/>
          <w:i w:val="0"/>
          <w:sz w:val="22"/>
        </w:rPr>
        <w:t>All that property bearing Survey No.93/4 situated at Bambolim known as “BAILEM FONDIEM”, “SAVELI GALI” or “OHOR”, zoned as orchard, admeasuring 35,600 m2 approximately, within the limits of Village Panchayat Curca, Bambolim &amp; Talaulim, Taluka of Tiswadi, Registration Sub-District of Ilhas, District of North Goa and neither described in land registration office nor enrolled under matriz and bounded as follows:</w:t>
      </w:r>
    </w:p>
    <w:p>
      <w:r>
        <w:rPr>
          <w:rFonts w:ascii="Times New Roman" w:hAnsi="Times New Roman" w:eastAsia="Times New Roman"/>
          <w:b w:val="0"/>
          <w:i w:val="0"/>
          <w:sz w:val="22"/>
        </w:rPr>
        <w:t>North: By Bambolim Village road and plot surveyed under no. 107/7-11</w:t>
      </w:r>
    </w:p>
    <w:p>
      <w:r>
        <w:rPr>
          <w:rFonts w:ascii="Times New Roman" w:hAnsi="Times New Roman" w:eastAsia="Times New Roman"/>
          <w:b w:val="0"/>
          <w:i w:val="0"/>
          <w:sz w:val="22"/>
        </w:rPr>
        <w:t>South: By plot surveyed under No.103</w:t>
      </w:r>
    </w:p>
    <w:p>
      <w:r>
        <w:rPr>
          <w:rFonts w:ascii="Times New Roman" w:hAnsi="Times New Roman" w:eastAsia="Times New Roman"/>
          <w:b w:val="0"/>
          <w:i w:val="0"/>
          <w:sz w:val="22"/>
        </w:rPr>
        <w:t>East: By plot surveyed under No.93/1</w:t>
      </w:r>
    </w:p>
    <w:p>
      <w:r>
        <w:rPr>
          <w:rFonts w:ascii="Times New Roman" w:hAnsi="Times New Roman" w:eastAsia="Times New Roman"/>
          <w:b w:val="0"/>
          <w:i w:val="0"/>
          <w:sz w:val="22"/>
        </w:rPr>
        <w:t>West: By plot surveyed under Nos.93, 106,107/1, 2, 3, 5 and 6 Schedule 2A, 2B and 2C to be incorporated.</w:t>
      </w:r>
    </w:p>
    <w:p/>
    <w:p>
      <w:r>
        <w:rPr>
          <w:rFonts w:ascii="Times New Roman" w:hAnsi="Times New Roman" w:eastAsia="Times New Roman"/>
          <w:b w:val="0"/>
          <w:i w:val="0"/>
          <w:sz w:val="22"/>
        </w:rPr>
        <w:t>IN WITNESS WHEREOF THE PARTIES HERETO HAVE SET THEIR RESPECTIVE HANDS THE DAY AND THE YEAR FIRST HEREINABOVE MENTIONED:</w:t>
      </w:r>
    </w:p>
    <w:p>
      <w:r>
        <w:rPr>
          <w:rFonts w:ascii="Times New Roman" w:hAnsi="Times New Roman" w:eastAsia="Times New Roman"/>
          <w:b w:val="0"/>
          <w:i w:val="0"/>
          <w:sz w:val="22"/>
        </w:rPr>
        <w:t>SIGNED AND SEALED AND DELIVERED BY THE WITHINNAMED MR. PASCOAL TRINDADE AND PARTY OF THE FIRST PART IN THE PRESENCE OF</w:t>
      </w:r>
    </w:p>
    <w:p>
      <w:r>
        <w:rPr>
          <w:rFonts w:ascii="Times New Roman" w:hAnsi="Times New Roman" w:eastAsia="Times New Roman"/>
          <w:b w:val="0"/>
          <w:i w:val="0"/>
          <w:sz w:val="22"/>
        </w:rPr>
        <w:t>1. Manvel c. Dios</w:t>
      </w:r>
    </w:p>
    <w:p>
      <w:r>
        <w:rPr>
          <w:rFonts w:ascii="Times New Roman" w:hAnsi="Times New Roman" w:eastAsia="Times New Roman"/>
          <w:b w:val="0"/>
          <w:i w:val="0"/>
          <w:sz w:val="22"/>
        </w:rPr>
        <w:t>2. JUJE FERNANDES</w:t>
      </w:r>
    </w:p>
    <w:p>
      <w:r>
        <w:rPr>
          <w:rFonts w:ascii="Times New Roman" w:hAnsi="Times New Roman" w:eastAsia="Times New Roman"/>
          <w:b w:val="0"/>
          <w:i w:val="0"/>
          <w:sz w:val="22"/>
        </w:rPr>
        <w:t>SIGNED AND SEALED AND DELIVERED BY THE WITHINNAMED MR. VIKRAM SHAH AND PARTY OF THE SECOND PART IN THE PRESENCE OF</w:t>
      </w:r>
    </w:p>
    <w:p>
      <w:r>
        <w:rPr>
          <w:rFonts w:ascii="Times New Roman" w:hAnsi="Times New Roman" w:eastAsia="Times New Roman"/>
          <w:b w:val="0"/>
          <w:i w:val="0"/>
          <w:sz w:val="22"/>
        </w:rPr>
        <w:t>1. Joyce Perina</w:t>
      </w:r>
    </w:p>
    <w:p>
      <w:r>
        <w:rPr>
          <w:rFonts w:ascii="Times New Roman" w:hAnsi="Times New Roman" w:eastAsia="Times New Roman"/>
          <w:b w:val="0"/>
          <w:i w:val="0"/>
          <w:sz w:val="22"/>
        </w:rPr>
        <w:t>2. Brenda Po</w:t>
      </w:r>
    </w:p>
    <w:p>
      <w:r>
        <w:rPr>
          <w:rFonts w:ascii="Times New Roman" w:hAnsi="Times New Roman" w:eastAsia="Times New Roman"/>
          <w:b w:val="0"/>
          <w:i w:val="0"/>
          <w:sz w:val="22"/>
        </w:rPr>
        <w:t>SIGNED AND SEALED AND DELIVERED BY THE WITHINNAMED MR. MURLIDHAR SADARANGANI AND PARTY OF THE THIRD PART IN THE PRESENCE OF</w:t>
      </w:r>
    </w:p>
    <w:p>
      <w:r>
        <w:rPr>
          <w:rFonts w:ascii="Times New Roman" w:hAnsi="Times New Roman" w:eastAsia="Times New Roman"/>
          <w:b w:val="0"/>
          <w:i w:val="0"/>
          <w:sz w:val="22"/>
        </w:rPr>
        <w:t>1. Mayjula Kusunoor (Muskunoor)</w:t>
      </w:r>
    </w:p>
    <w:p>
      <w:r>
        <w:rPr>
          <w:rFonts w:ascii="Times New Roman" w:hAnsi="Times New Roman" w:eastAsia="Times New Roman"/>
          <w:b w:val="0"/>
          <w:i w:val="0"/>
          <w:sz w:val="22"/>
        </w:rPr>
        <w:t>2. Sulochana Fatarpetae</w:t>
      </w:r>
    </w:p>
    <w:p/>
    <w:p>
      <w:r>
        <w:rPr>
          <w:rFonts w:ascii="Times New Roman" w:hAnsi="Times New Roman" w:eastAsia="Times New Roman"/>
          <w:b w:val="0"/>
          <w:i w:val="0"/>
          <w:sz w:val="22"/>
        </w:rPr>
        <w:t>Certified True Copy of the Original</w:t>
      </w:r>
    </w:p>
    <w:p>
      <w:r>
        <w:rPr>
          <w:rFonts w:ascii="Times New Roman" w:hAnsi="Times New Roman" w:eastAsia="Times New Roman"/>
          <w:b w:val="0"/>
          <w:i w:val="0"/>
          <w:sz w:val="22"/>
        </w:rPr>
        <w:t>Reg. No. 4414 Dated 01/10/23</w:t>
      </w:r>
    </w:p>
    <w:p>
      <w:r>
        <w:rPr>
          <w:rFonts w:ascii="Times New Roman" w:hAnsi="Times New Roman" w:eastAsia="Times New Roman"/>
          <w:b w:val="0"/>
          <w:i w:val="0"/>
          <w:sz w:val="22"/>
        </w:rPr>
        <w:t>MEERA MEDHEKAR</w:t>
      </w:r>
    </w:p>
    <w:p>
      <w:r>
        <w:rPr>
          <w:rFonts w:ascii="Times New Roman" w:hAnsi="Times New Roman" w:eastAsia="Times New Roman"/>
          <w:b w:val="0"/>
          <w:i w:val="0"/>
          <w:sz w:val="22"/>
        </w:rPr>
        <w:t>ADVOCATE &amp; NOTARY</w:t>
      </w:r>
    </w:p>
    <w:p>
      <w:r>
        <w:rPr>
          <w:rFonts w:ascii="Times New Roman" w:hAnsi="Times New Roman" w:eastAsia="Times New Roman"/>
          <w:b w:val="0"/>
          <w:i w:val="0"/>
          <w:sz w:val="22"/>
        </w:rPr>
        <w:t>Pinto Chambers, M. B. Road,</w:t>
      </w:r>
    </w:p>
    <w:p>
      <w:r>
        <w:rPr>
          <w:rFonts w:ascii="Times New Roman" w:hAnsi="Times New Roman" w:eastAsia="Times New Roman"/>
          <w:b w:val="0"/>
          <w:i w:val="0"/>
          <w:sz w:val="22"/>
        </w:rPr>
        <w:t>Panaji - Goa.</w:t>
      </w:r>
    </w:p>
    <w:p>
      <w:r>
        <w:rPr>
          <w:rFonts w:ascii="Times New Roman" w:hAnsi="Times New Roman" w:eastAsia="Times New Roman"/>
          <w:b w:val="0"/>
          <w:i w:val="0"/>
          <w:sz w:val="22"/>
        </w:rPr>
        <w:t>Cer. Exp. Date 10/08/2025</w:t>
      </w:r>
    </w:p>
    <w:p/>
    <w:p>
      <w:r>
        <w:rPr>
          <w:rFonts w:ascii="Times New Roman" w:hAnsi="Times New Roman" w:eastAsia="Times New Roman"/>
          <w:b w:val="0"/>
          <w:i w:val="0"/>
          <w:sz w:val="22"/>
        </w:rPr>
        <w:t>PRODUCED BY AN AUTODESK EDUCATIONAL PRODUCT</w:t>
      </w:r>
    </w:p>
    <w:p>
      <w:r>
        <w:rPr>
          <w:rFonts w:ascii="Times New Roman" w:hAnsi="Times New Roman" w:eastAsia="Times New Roman"/>
          <w:b w:val="0"/>
          <w:i w:val="0"/>
          <w:sz w:val="22"/>
        </w:rPr>
        <w:t>NO DEVELOPMENT ZONE</w:t>
      </w:r>
    </w:p>
    <w:p>
      <w:r>
        <w:rPr>
          <w:rFonts w:ascii="Times New Roman" w:hAnsi="Times New Roman" w:eastAsia="Times New Roman"/>
          <w:b w:val="0"/>
          <w:i w:val="0"/>
          <w:sz w:val="22"/>
        </w:rPr>
        <w:t>PRODUCED BY AN AUTODESK EDUCATIONAL PRODUCT</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