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Tax Advisory Note</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Tax Advisory Note</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Tax Advisory Note  </w:t>
      </w:r>
    </w:p>
    <w:p>
      <w:r>
        <w:rPr>
          <w:rFonts w:ascii="Times New Roman" w:hAnsi="Times New Roman" w:eastAsia="Times New Roman"/>
          <w:b w:val="0"/>
          <w:i w:val="0"/>
          <w:sz w:val="22"/>
        </w:rPr>
        <w:t xml:space="preserve">Kind: statement  </w:t>
      </w:r>
    </w:p>
    <w:p>
      <w:r>
        <w:rPr>
          <w:rFonts w:ascii="Times New Roman" w:hAnsi="Times New Roman" w:eastAsia="Times New Roman"/>
          <w:b w:val="0"/>
          <w:i w:val="0"/>
          <w:sz w:val="22"/>
        </w:rPr>
        <w:t xml:space="preserve">Pages: 5  </w:t>
      </w:r>
    </w:p>
    <w:p>
      <w:r>
        <w:rPr>
          <w:rFonts w:ascii="Times New Roman" w:hAnsi="Times New Roman" w:eastAsia="Times New Roman"/>
          <w:b w:val="0"/>
          <w:i w:val="0"/>
          <w:sz w:val="22"/>
        </w:rPr>
        <w:t xml:space="preserve">Source file: Financial Documents/PVM/Tax Advisory Note for PVM/Tax Advisory Note.pdf  </w:t>
      </w:r>
    </w:p>
    <w:p>
      <w:r>
        <w:rPr>
          <w:rFonts w:ascii="Times New Roman" w:hAnsi="Times New Roman" w:eastAsia="Times New Roman"/>
          <w:b w:val="0"/>
          <w:i w:val="0"/>
          <w:sz w:val="22"/>
        </w:rPr>
        <w:t>SHA-256: `26d30a0c8333deb72fc0f57006e747b31564e85e48c02a5911f96ee186f426be`</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Tax Advisory Note</w:t>
            </w:r>
          </w:p>
        </w:tc>
        <w:tc>
          <w:tcPr>
            <w:tcW w:type="dxa" w:w="3137"/>
            <w:shd w:fill="FFFFFF" w:val="clear"/>
          </w:tcPr>
          <w:p>
            <w:r>
              <w:rPr>
                <w:rFonts w:ascii="Times New Roman" w:hAnsi="Times New Roman" w:eastAsia="Times New Roman"/>
                <w:b w:val="0"/>
                <w:i w:val="0"/>
                <w:color w:val="1C1612"/>
                <w:sz w:val="20"/>
              </w:rPr>
              <w:t>1-5</w:t>
            </w:r>
          </w:p>
        </w:tc>
      </w:tr>
    </w:tbl>
    <w:p>
      <w:r>
        <w:rPr>
          <w:rFonts w:ascii="Times New Roman" w:hAnsi="Times New Roman" w:eastAsia="Times New Roman"/>
          <w:b w:val="0"/>
          <w:i w:val="0"/>
          <w:sz w:val="22"/>
        </w:rPr>
        <w:t>&lt;!-- SECTION: full | PDF pages 1-5 --&gt;</w:t>
      </w:r>
    </w:p>
    <w:p>
      <w:r>
        <w:rPr>
          <w:rFonts w:ascii="Times New Roman" w:hAnsi="Times New Roman" w:eastAsia="Times New Roman"/>
          <w:b w:val="0"/>
          <w:i/>
          <w:color w:val="8B2E2E"/>
          <w:sz w:val="22"/>
        </w:rPr>
        <w:t>Clerk note: continuous OCR for a 5-page paper. Open Original scans for page boundaries. Figures are as printed.</w:t>
      </w:r>
    </w:p>
    <w:p>
      <w:r>
        <w:rPr>
          <w:rFonts w:ascii="Times New Roman" w:hAnsi="Times New Roman" w:eastAsia="Times New Roman"/>
          <w:b/>
          <w:i w:val="0"/>
          <w:color w:val="8B2E2E"/>
          <w:sz w:val="26"/>
        </w:rPr>
        <w:t>Note in respect of lands in Goa</w:t>
      </w:r>
    </w:p>
    <w:p>
      <w:r>
        <w:rPr>
          <w:rFonts w:ascii="Times New Roman" w:hAnsi="Times New Roman" w:eastAsia="Times New Roman"/>
          <w:b w:val="0"/>
          <w:i w:val="0"/>
          <w:sz w:val="22"/>
        </w:rPr>
        <w:t>Certain individuals and companies came together to acquire land in Goa, develop it and market the same. For this purpose, they contributed funds either directly or through private limited companies to Mr. Pascoal. It may be noted that Mr. Pascoal is in the real estate business and has been conducting the business under various entities. One needs to verify whether any business activity is being done in his individual name or in the name of any proprietary concern.</w:t>
      </w:r>
    </w:p>
    <w:p>
      <w:r>
        <w:rPr>
          <w:rFonts w:ascii="Times New Roman" w:hAnsi="Times New Roman" w:eastAsia="Times New Roman"/>
          <w:b w:val="0"/>
          <w:i w:val="0"/>
          <w:sz w:val="22"/>
        </w:rPr>
        <w:t>Most of the lands acquired have been acquired in the name of Mr. Pascoal except for one plot of land which was acquired in the name of one of the private limited companies.</w:t>
      </w:r>
    </w:p>
    <w:p>
      <w:r>
        <w:rPr>
          <w:rFonts w:ascii="Times New Roman" w:hAnsi="Times New Roman" w:eastAsia="Times New Roman"/>
          <w:b w:val="0"/>
          <w:i w:val="0"/>
          <w:sz w:val="22"/>
        </w:rPr>
        <w:t>The parties had constituted an AOP for the purpose of acquiring and developing the land. However, the AOP was not activated.</w:t>
      </w:r>
    </w:p>
    <w:p>
      <w:r>
        <w:rPr>
          <w:rFonts w:ascii="Times New Roman" w:hAnsi="Times New Roman" w:eastAsia="Times New Roman"/>
          <w:b w:val="0"/>
          <w:i w:val="0"/>
          <w:sz w:val="22"/>
        </w:rPr>
        <w:t>It is proposed to regularise the arrangement to reflect the true intent of the parties. The basic proposal is as under.</w:t>
      </w:r>
    </w:p>
    <w:p>
      <w:r>
        <w:rPr>
          <w:rFonts w:ascii="Times New Roman" w:hAnsi="Times New Roman" w:eastAsia="Times New Roman"/>
          <w:b w:val="0"/>
          <w:i w:val="0"/>
          <w:sz w:val="22"/>
        </w:rPr>
        <w:t>It is proposed that the parties will activate the AOP. Mr Pascoal will bring the lands acquired in his name as his capital contribution in the AOP. The lands will be brought into the AOP at cost or cost plus reasonable appreciation or at the value based on the ready reckoner applicable for stamp duty purposes in the State of Goa. This aspect has to be discussed and decided.</w:t>
      </w:r>
    </w:p>
    <w:p>
      <w:r>
        <w:rPr>
          <w:rFonts w:ascii="Times New Roman" w:hAnsi="Times New Roman" w:eastAsia="Times New Roman"/>
          <w:b w:val="0"/>
          <w:i w:val="0"/>
          <w:sz w:val="22"/>
        </w:rPr>
        <w:t>The implications of this proposal are discussed below:</w:t>
      </w:r>
    </w:p>
    <w:p>
      <w:r>
        <w:rPr>
          <w:rFonts w:ascii="Times New Roman" w:hAnsi="Times New Roman" w:eastAsia="Times New Roman"/>
          <w:b w:val="0"/>
          <w:i w:val="0"/>
          <w:sz w:val="22"/>
        </w:rPr>
        <w:t>• Presuming that the lands are a capital asset in the hands of Mr. Pascoal, Section 50C of Income Tax Act may not be applicable if Mr Pascoal brings the land as his capital contribution in the AOP. Section 45(3) of the Income Tax Act provides that when there is a transfer by way of bringing an asset as capital contribution in an AOP, for the purposes of Section 48 the amount recorded in the books of account of the AOP as the value of the capital asset is deemed to be the full value of the consideration received or accruing as a result of the transfer of the capital asset. Considering this</w:t>
      </w:r>
    </w:p>
    <w:p/>
    <w:p>
      <w:r>
        <w:rPr>
          <w:rFonts w:ascii="Times New Roman" w:hAnsi="Times New Roman" w:eastAsia="Times New Roman"/>
          <w:b w:val="0"/>
          <w:i w:val="0"/>
          <w:sz w:val="22"/>
        </w:rPr>
        <w:t>.</w:t>
      </w:r>
    </w:p>
    <w:p/>
    <w:p>
      <w:r>
        <w:rPr>
          <w:rFonts w:ascii="Times New Roman" w:hAnsi="Times New Roman" w:eastAsia="Times New Roman"/>
          <w:b w:val="0"/>
          <w:i w:val="0"/>
          <w:sz w:val="22"/>
        </w:rPr>
        <w:t>specific provision, it appears that section 45(3) will prevail over section 50C for computing the capital gain. Refer Carlron Hotel (P) ltd. vs. ACIT. Also, the Supreme Court, in the context of a partner bringing his personal asset as capital contribution in a partnership firm, in the case of Sunil Siddharthbhai vs. CIT [1985] 156 ITR 509 (SC) has held that it is impossible to evaluate consideration in such a case. Considering this, it is not possible to evaluate whether the consideration received or accruing is less than stamp duty valuation and consequentially, provisions of section 50C may not apply. However, this aspect is debatable.</w:t>
      </w:r>
    </w:p>
    <w:p>
      <w:r>
        <w:rPr>
          <w:rFonts w:ascii="Times New Roman" w:hAnsi="Times New Roman" w:eastAsia="Times New Roman"/>
          <w:b w:val="0"/>
          <w:i w:val="0"/>
          <w:sz w:val="22"/>
        </w:rPr>
        <w:t>• As mentioned earlier, Mr Pascoal is in the business of real estate development. On this background it is likely that the lands acquired by Mr. Pascoal which are to be brought in as capital contribution in the AOP may be treated as business asset in his hands and not capital asset. In those circumstances also section 50C will not apply since section 50C applies in computing the capital gain and not business profits.</w:t>
      </w:r>
    </w:p>
    <w:p>
      <w:r>
        <w:rPr>
          <w:rFonts w:ascii="Times New Roman" w:hAnsi="Times New Roman" w:eastAsia="Times New Roman"/>
          <w:b w:val="0"/>
          <w:i w:val="0"/>
          <w:sz w:val="22"/>
        </w:rPr>
        <w:t>• One must also consider the provisions of section 56(1)(vii)(b) of the Income Tax Act. This section provides for taxing as income from other sources the value adopted for the purposes of stamp duty of any immovable property received by an individual or HUF without consideration. This section applies only to individual or HUF and for property received without consideration. In the present proposal the recipient of the property is an AOP (not an individual or HUF) and the AOP will be receiving the property for a consideration being amount credited to the capital account of Mr. Pascoal as deemed by section 45(3) or being the right to receive the profit etc. as held by the Supreme Court in the case of Sunil Siddharthbhai vs. CIT [1985] 156 ITR 509 (SC). Considering this, section 56(1)(vii)(b) of the Income Tax Act will not have application in the present proposal.</w:t>
      </w:r>
    </w:p>
    <w:p/>
    <w:p>
      <w:r>
        <w:rPr>
          <w:rFonts w:ascii="Times New Roman" w:hAnsi="Times New Roman" w:eastAsia="Times New Roman"/>
          <w:b w:val="0"/>
          <w:i w:val="0"/>
          <w:sz w:val="22"/>
        </w:rPr>
        <w:t>1. 已知 $a, b, c$ 为实数，且 $a^2 + b^2 = c^2$，求 $a, b, c$ 的大小关系。</w:t>
      </w:r>
    </w:p>
    <w:p>
      <w:r>
        <w:rPr>
          <w:rFonts w:ascii="Times New Roman" w:hAnsi="Times New Roman" w:eastAsia="Times New Roman"/>
          <w:b w:val="0"/>
          <w:i w:val="0"/>
          <w:sz w:val="22"/>
        </w:rPr>
        <w:t>2. 已知 $a, b, c$ 为实数，且 $a^2 + b^2 = c^2$，求 $a, b, c$ 的最小值。</w:t>
      </w:r>
    </w:p>
    <w:p>
      <w:r>
        <w:rPr>
          <w:rFonts w:ascii="Times New Roman" w:hAnsi="Times New Roman" w:eastAsia="Times New Roman"/>
          <w:b w:val="0"/>
          <w:i w:val="0"/>
          <w:sz w:val="22"/>
        </w:rPr>
        <w:t>解：</w:t>
      </w:r>
    </w:p>
    <w:p>
      <w:r>
        <w:rPr>
          <w:rFonts w:ascii="Times New Roman" w:hAnsi="Times New Roman" w:eastAsia="Times New Roman"/>
          <w:b w:val="0"/>
          <w:i w:val="0"/>
          <w:sz w:val="22"/>
        </w:rPr>
        <w:t>1. 由 $a^2 + b^2 = c^2$ 可得 $|a - b| = |c - a|$。因为 $a, b, c$ 为实数，所以 $a, b, c$ 的大小关系为 $a \geq b \geq c$。</w:t>
      </w:r>
    </w:p>
    <w:p>
      <w:r>
        <w:rPr>
          <w:rFonts w:ascii="Times New Roman" w:hAnsi="Times New Roman" w:eastAsia="Times New Roman"/>
          <w:b w:val="0"/>
          <w:i w:val="0"/>
          <w:sz w:val="22"/>
        </w:rPr>
        <w:t>2. 将 $a^2 + b^2 = c^2$ 展开，得到 $(a - b)^2 + (c - a)^2 = c^2$。即 $a^2 - 2ab + b^2 + c^2 - 2ac + a^2 = c^2$。整理后得到 $2(a - b)^2 = 0$。所以 $a - b = 0$，即 $a = b$。将 $a = b$ 代入 $a^2 + b^2 = c^2$ 中，得到 $2b^2 = c^2$。因此 $b = \frac{c}{2}$。综上所述，$a = b = \frac{c}{2}$。</w:t>
      </w:r>
    </w:p>
    <w:p>
      <w:r>
        <w:rPr>
          <w:rFonts w:ascii="Times New Roman" w:hAnsi="Times New Roman" w:eastAsia="Times New Roman"/>
          <w:b w:val="0"/>
          <w:i w:val="0"/>
          <w:sz w:val="22"/>
        </w:rPr>
        <w:t>3. 将 $a^2 + b^2 = c^2$ 展开，得到 $(a - b)^2 + (c - a)^2 = c^2$。即 $a^2 - 2ab + b^2 + c^2 - 2ac + a^2 = c^2$。整理后得到 $2(a - b)^2 = 0$。所以 $a - b = 0$，即 $a = b$。将 $a = b$ 代入 $a^2 + b^2 = c^2$ 中，得到 $2b^2 = c^2$。因此 $b = \frac{c}{2}$。综上所述，$a = b = \frac{c}{2}$。</w:t>
      </w:r>
    </w:p>
    <w:p/>
    <w:p>
      <w:r>
        <w:rPr>
          <w:rFonts w:ascii="Times New Roman" w:hAnsi="Times New Roman" w:eastAsia="Times New Roman"/>
          <w:b w:val="0"/>
          <w:i w:val="0"/>
          <w:sz w:val="22"/>
        </w:rPr>
        <w:t>• Depending on the value at which the property is brought in by Mr. Pascoal in the AOP, the share of profit of various members of the AOP will have to be adjusted. This is so because the advances were made to Mr. Pascoal based on the property values in the year ... while the properties will brought into the AOP at a different value.</w:t>
      </w:r>
    </w:p>
    <w:p>
      <w:r>
        <w:rPr>
          <w:rFonts w:ascii="Times New Roman" w:hAnsi="Times New Roman" w:eastAsia="Times New Roman"/>
          <w:b w:val="0"/>
          <w:i w:val="0"/>
          <w:sz w:val="22"/>
        </w:rPr>
        <w:t>• Mr. Pascoal will refund the amounts received by him as advance from various parties and the parties in turn will bring these amounts as their capital contribution to the AOP.</w:t>
      </w:r>
    </w:p>
    <w:p>
      <w:r>
        <w:rPr>
          <w:rFonts w:ascii="Times New Roman" w:hAnsi="Times New Roman" w:eastAsia="Times New Roman"/>
          <w:b w:val="0"/>
          <w:i w:val="0"/>
          <w:sz w:val="22"/>
        </w:rPr>
        <w:t>• Similar action will be taken in respect of land covered by the arrangement but acquired in the name of a private limited company.</w:t>
      </w:r>
    </w:p>
    <w:p>
      <w:r>
        <w:rPr>
          <w:rFonts w:ascii="Times New Roman" w:hAnsi="Times New Roman" w:eastAsia="Times New Roman"/>
          <w:b w:val="0"/>
          <w:i w:val="0"/>
          <w:sz w:val="22"/>
        </w:rPr>
        <w:t>• Stamp Duty issues, if any, may be verified locally.</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