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Written Submissions opposing Section 16 (R4)</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Written Submissions opposing Section 16 (R4)</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Written Submissions opposing Section 16 (R4)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8  </w:t>
      </w:r>
    </w:p>
    <w:p>
      <w:r>
        <w:rPr>
          <w:rFonts w:ascii="Times New Roman" w:hAnsi="Times New Roman" w:eastAsia="Times New Roman"/>
          <w:b w:val="0"/>
          <w:i w:val="0"/>
          <w:sz w:val="22"/>
        </w:rPr>
        <w:t xml:space="preserve">Source file: Section 16/Written Submissions opposing Section 16 (R4).pdf  </w:t>
      </w:r>
    </w:p>
    <w:p>
      <w:r>
        <w:rPr>
          <w:rFonts w:ascii="Times New Roman" w:hAnsi="Times New Roman" w:eastAsia="Times New Roman"/>
          <w:b w:val="0"/>
          <w:i w:val="0"/>
          <w:sz w:val="22"/>
        </w:rPr>
        <w:t>SHA-256: `359883d8e88825265d51849fbf76ecf130761d286132921f943fb3b7028d7bb4`</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Written Submissions opposing Section 16 (R4)</w:t>
            </w:r>
          </w:p>
        </w:tc>
        <w:tc>
          <w:tcPr>
            <w:tcW w:type="dxa" w:w="3137"/>
            <w:shd w:fill="FFFFFF" w:val="clear"/>
          </w:tcPr>
          <w:p>
            <w:r>
              <w:rPr>
                <w:rFonts w:ascii="Times New Roman" w:hAnsi="Times New Roman" w:eastAsia="Times New Roman"/>
                <w:b w:val="0"/>
                <w:i w:val="0"/>
                <w:color w:val="1C1612"/>
                <w:sz w:val="20"/>
              </w:rPr>
              <w:t>1-8</w:t>
            </w:r>
          </w:p>
        </w:tc>
      </w:tr>
    </w:tbl>
    <w:p>
      <w:r>
        <w:rPr>
          <w:rFonts w:ascii="Times New Roman" w:hAnsi="Times New Roman" w:eastAsia="Times New Roman"/>
          <w:b w:val="0"/>
          <w:i w:val="0"/>
          <w:sz w:val="22"/>
        </w:rPr>
        <w:t>&lt;!-- SECTION: full | PDF pages 1-8 --&gt;</w:t>
      </w:r>
    </w:p>
    <w:p>
      <w:r>
        <w:rPr>
          <w:rFonts w:ascii="Times New Roman" w:hAnsi="Times New Roman" w:eastAsia="Times New Roman"/>
          <w:b w:val="0"/>
          <w:i/>
          <w:color w:val="8B2E2E"/>
          <w:sz w:val="22"/>
        </w:rPr>
        <w:t>Clerk note: continuous OCR for a 8-page paper. Open Original scans for page boundaries. Figures are as printed.</w:t>
      </w:r>
    </w:p>
    <w:p>
      <w:r>
        <w:rPr>
          <w:rFonts w:ascii="Times New Roman" w:hAnsi="Times New Roman" w:eastAsia="Times New Roman"/>
          <w:b/>
          <w:i w:val="0"/>
          <w:color w:val="8B2E2E"/>
          <w:sz w:val="32"/>
        </w:rPr>
        <w:t>BEFORE THE SOLE ARBITRATOR</w:t>
      </w:r>
    </w:p>
    <w:p>
      <w:r>
        <w:rPr>
          <w:rFonts w:ascii="Times New Roman" w:hAnsi="Times New Roman" w:eastAsia="Times New Roman"/>
          <w:b w:val="0"/>
          <w:i w:val="0"/>
          <w:sz w:val="22"/>
        </w:rPr>
        <w:t>MR. NITIN N. SARDESSAI, SR. ADVOCATE</w:t>
      </w:r>
    </w:p>
    <w:p>
      <w:r>
        <w:rPr>
          <w:rFonts w:ascii="Times New Roman" w:hAnsi="Times New Roman" w:eastAsia="Times New Roman"/>
          <w:b w:val="0"/>
          <w:i w:val="0"/>
          <w:sz w:val="22"/>
        </w:rPr>
        <w:t>AT PANAJI GOA.</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MR. VIKRAM SHAH .....CLAIMANT</w:t>
      </w:r>
    </w:p>
    <w:p>
      <w:r>
        <w:rPr>
          <w:rFonts w:ascii="Times New Roman" w:hAnsi="Times New Roman" w:eastAsia="Times New Roman"/>
          <w:b w:val="0"/>
          <w:i w:val="0"/>
          <w:sz w:val="22"/>
        </w:rPr>
        <w:t>v</w:t>
      </w:r>
    </w:p>
    <w:p>
      <w:r>
        <w:rPr>
          <w:rFonts w:ascii="Times New Roman" w:hAnsi="Times New Roman" w:eastAsia="Times New Roman"/>
          <w:b w:val="0"/>
          <w:i w:val="0"/>
          <w:sz w:val="22"/>
        </w:rPr>
        <w:t>MR. RAVI TRINDADE &amp; ORS. .....RESPONDENTS</w:t>
      </w:r>
    </w:p>
    <w:p>
      <w:r>
        <w:rPr>
          <w:rFonts w:ascii="Times New Roman" w:hAnsi="Times New Roman" w:eastAsia="Times New Roman"/>
          <w:b w:val="0"/>
          <w:i w:val="0"/>
          <w:sz w:val="22"/>
        </w:rPr>
        <w:t>SUBMISSIONS ON BEHALF OF RESPONDENT NO. 4 OPPOSING THE APPLICATION FILED BY RESPONDENT NO. 2 UNDER SECTION 16 OF THE ARBITRATION &amp; CONCILIATION ACT 1996.</w:t>
      </w:r>
    </w:p>
    <w:p>
      <w:r>
        <w:rPr>
          <w:rFonts w:ascii="Times New Roman" w:hAnsi="Times New Roman" w:eastAsia="Times New Roman"/>
          <w:b w:val="0"/>
          <w:i w:val="0"/>
          <w:sz w:val="22"/>
        </w:rPr>
        <w:t>I. PRELIMINARY OBJECTION: STATUTORY BAR UNDER SECTION 16(2) AND GROSS DELAY</w:t>
      </w:r>
    </w:p>
    <w:p>
      <w:r>
        <w:rPr>
          <w:rFonts w:ascii="Times New Roman" w:hAnsi="Times New Roman" w:eastAsia="Times New Roman"/>
          <w:b/>
          <w:i w:val="0"/>
          <w:color w:val="8B2E2E"/>
          <w:sz w:val="26"/>
        </w:rPr>
        <w:t>1. The Application is Hopelessly Time-Barred:</w:t>
      </w:r>
    </w:p>
    <w:p>
      <w:r>
        <w:rPr>
          <w:rFonts w:ascii="Times New Roman" w:hAnsi="Times New Roman" w:eastAsia="Times New Roman"/>
          <w:b w:val="0"/>
          <w:i w:val="0"/>
          <w:sz w:val="22"/>
        </w:rPr>
        <w:t>The Respondent No. 4 submits that the Section 16 Application filed by Respondent No. 2 is a blatant attempt to derail the proceedings and is hit by the statutory bar under Section 16(2) of the Arbitration &amp; Conciliation Act 1996.</w:t>
      </w:r>
    </w:p>
    <w:p>
      <w:r>
        <w:rPr>
          <w:rFonts w:ascii="Times New Roman" w:hAnsi="Times New Roman" w:eastAsia="Times New Roman"/>
          <w:b w:val="0"/>
          <w:i w:val="0"/>
          <w:sz w:val="22"/>
        </w:rPr>
        <w:t>Section 16(2) mandates that a plea that the Arbitral Tribunal lacks jurisdiction</w:t>
      </w:r>
    </w:p>
    <w:p>
      <w:r>
        <w:rPr>
          <w:rFonts w:ascii="Times New Roman" w:hAnsi="Times New Roman" w:eastAsia="Times New Roman"/>
          <w:b w:val="0"/>
          <w:i w:val="0"/>
          <w:sz w:val="22"/>
        </w:rPr>
        <w:t>“shall be raised not later than the submission of the statement of defence.”</w:t>
      </w:r>
    </w:p>
    <w:p>
      <w:r>
        <w:rPr>
          <w:rFonts w:ascii="Times New Roman" w:hAnsi="Times New Roman" w:eastAsia="Times New Roman"/>
          <w:b/>
          <w:i w:val="0"/>
          <w:color w:val="8B2E2E"/>
          <w:sz w:val="26"/>
        </w:rPr>
        <w:t>2. Chronological Record of Participation and Acquiescence:</w:t>
      </w:r>
    </w:p>
    <w:p>
      <w:r>
        <w:rPr>
          <w:rFonts w:ascii="Times New Roman" w:hAnsi="Times New Roman" w:eastAsia="Times New Roman"/>
          <w:b w:val="0"/>
          <w:i w:val="0"/>
          <w:sz w:val="22"/>
        </w:rPr>
        <w:t>The record of these proceedings clearly demonstrates that Respondent No. 2 has submitted to the jurisdiction of this Tribunal for 18 months before filing the Application under Section 16 on March 14, 2026. A tabulated record of the arbitral proceedings till date is appended below for ease of reference.</w:t>
      </w:r>
    </w:p>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Date participated</w:t>
            </w:r>
          </w:p>
        </w:tc>
        <w:tc>
          <w:tcPr>
            <w:tcW w:type="dxa" w:w="4706"/>
            <w:shd w:fill="8B2E2E" w:val="clear"/>
          </w:tcPr>
          <w:p>
            <w:r>
              <w:rPr>
                <w:rFonts w:ascii="Times New Roman" w:hAnsi="Times New Roman" w:eastAsia="Times New Roman"/>
                <w:b/>
                <w:i w:val="0"/>
                <w:color w:val="FFFFFF"/>
                <w:sz w:val="20"/>
              </w:rPr>
              <w:t>Events that occurred</w:t>
            </w:r>
          </w:p>
        </w:tc>
      </w:tr>
      <w:tr>
        <w:tc>
          <w:tcPr>
            <w:tcW w:type="dxa" w:w="4706"/>
            <w:shd w:fill="FFFFFF" w:val="clear"/>
          </w:tcPr>
          <w:p>
            <w:r>
              <w:rPr>
                <w:rFonts w:ascii="Times New Roman" w:hAnsi="Times New Roman" w:eastAsia="Times New Roman"/>
                <w:b w:val="0"/>
                <w:i w:val="0"/>
                <w:color w:val="1C1612"/>
                <w:sz w:val="20"/>
              </w:rPr>
              <w:t>07.08.2024</w:t>
            </w:r>
          </w:p>
        </w:tc>
        <w:tc>
          <w:tcPr>
            <w:tcW w:type="dxa" w:w="4706"/>
            <w:shd w:fill="FFFFFF" w:val="clear"/>
          </w:tcPr>
          <w:p>
            <w:r>
              <w:rPr>
                <w:rFonts w:ascii="Times New Roman" w:hAnsi="Times New Roman" w:eastAsia="Times New Roman"/>
                <w:b w:val="0"/>
                <w:i w:val="0"/>
                <w:color w:val="1C1612"/>
                <w:sz w:val="20"/>
              </w:rPr>
              <w:t>This Hon&amp;#x27;ble Tribunal was constituted by the Order of the High Court of Bombay at Goa in AAR No.13 of 2024.</w:t>
            </w:r>
          </w:p>
        </w:tc>
      </w:tr>
      <w:tr>
        <w:tc>
          <w:tcPr>
            <w:tcW w:type="dxa" w:w="4706"/>
            <w:shd w:fill="F4EEE4" w:val="clear"/>
          </w:tcPr>
          <w:p>
            <w:r>
              <w:rPr>
                <w:rFonts w:ascii="Times New Roman" w:hAnsi="Times New Roman" w:eastAsia="Times New Roman"/>
                <w:b w:val="0"/>
                <w:i w:val="0"/>
                <w:color w:val="1C1612"/>
                <w:sz w:val="20"/>
              </w:rPr>
              <w:t>26.08.2024</w:t>
            </w:r>
          </w:p>
        </w:tc>
        <w:tc>
          <w:tcPr>
            <w:tcW w:type="dxa" w:w="4706"/>
            <w:shd w:fill="F4EEE4" w:val="clear"/>
          </w:tcPr>
          <w:p>
            <w:r>
              <w:rPr>
                <w:rFonts w:ascii="Times New Roman" w:hAnsi="Times New Roman" w:eastAsia="Times New Roman"/>
                <w:b w:val="0"/>
                <w:i w:val="0"/>
                <w:color w:val="1C1612"/>
                <w:sz w:val="20"/>
              </w:rPr>
              <w:t>Arbitral Tribunal gave notice of commencement of proceedings.</w:t>
            </w:r>
          </w:p>
        </w:tc>
      </w:tr>
      <w:tr>
        <w:tc>
          <w:tcPr>
            <w:tcW w:type="dxa" w:w="4706"/>
            <w:shd w:fill="FFFFFF" w:val="clear"/>
          </w:tcPr>
          <w:p>
            <w:r>
              <w:rPr>
                <w:rFonts w:ascii="Times New Roman" w:hAnsi="Times New Roman" w:eastAsia="Times New Roman"/>
                <w:b w:val="0"/>
                <w:i w:val="0"/>
                <w:color w:val="1C1612"/>
                <w:sz w:val="20"/>
              </w:rPr>
              <w:t>14.09.2024</w:t>
            </w:r>
          </w:p>
        </w:tc>
        <w:tc>
          <w:tcPr>
            <w:tcW w:type="dxa" w:w="4706"/>
            <w:shd w:fill="FFFFFF" w:val="clear"/>
          </w:tcPr>
          <w:p>
            <w:r>
              <w:rPr>
                <w:rFonts w:ascii="Times New Roman" w:hAnsi="Times New Roman" w:eastAsia="Times New Roman"/>
                <w:b w:val="0"/>
                <w:i w:val="0"/>
                <w:color w:val="1C1612"/>
                <w:sz w:val="20"/>
              </w:rPr>
              <w:t>Respondents Nos.1-3 appeared through their advocate, proposed a global settlement,and it was unanimously decided that the seat and venue of the arbitration would be Panaji,Goa.</w:t>
            </w:r>
          </w:p>
        </w:tc>
      </w:tr>
      <w:tr>
        <w:tc>
          <w:tcPr>
            <w:tcW w:type="dxa" w:w="4706"/>
            <w:shd w:fill="F4EEE4" w:val="clear"/>
          </w:tcPr>
          <w:p>
            <w:r>
              <w:rPr>
                <w:rFonts w:ascii="Times New Roman" w:hAnsi="Times New Roman" w:eastAsia="Times New Roman"/>
                <w:b w:val="0"/>
                <w:i w:val="0"/>
                <w:color w:val="1C1612"/>
                <w:sz w:val="20"/>
              </w:rPr>
              <w:t>22.01.2025</w:t>
            </w:r>
          </w:p>
        </w:tc>
        <w:tc>
          <w:tcPr>
            <w:tcW w:type="dxa" w:w="4706"/>
            <w:shd w:fill="F4EEE4" w:val="clear"/>
          </w:tcPr>
          <w:p>
            <w:r>
              <w:rPr>
                <w:rFonts w:ascii="Times New Roman" w:hAnsi="Times New Roman" w:eastAsia="Times New Roman"/>
                <w:b w:val="0"/>
                <w:i w:val="0"/>
                <w:color w:val="1C1612"/>
                <w:sz w:val="20"/>
              </w:rPr>
              <w:t>The Claimant filed his formal Statement of Claim.</w:t>
            </w:r>
          </w:p>
        </w:tc>
      </w:tr>
      <w:tr>
        <w:tc>
          <w:tcPr>
            <w:tcW w:type="dxa" w:w="4706"/>
            <w:shd w:fill="FFFFFF" w:val="clear"/>
          </w:tcPr>
          <w:p>
            <w:r>
              <w:rPr>
                <w:rFonts w:ascii="Times New Roman" w:hAnsi="Times New Roman" w:eastAsia="Times New Roman"/>
                <w:b w:val="0"/>
                <w:i w:val="0"/>
                <w:color w:val="1C1612"/>
                <w:sz w:val="20"/>
              </w:rPr>
              <w:t>25.01.2025</w:t>
            </w:r>
          </w:p>
        </w:tc>
        <w:tc>
          <w:tcPr>
            <w:tcW w:type="dxa" w:w="4706"/>
            <w:shd w:fill="FFFFFF" w:val="clear"/>
          </w:tcPr>
          <w:p>
            <w:r>
              <w:rPr>
                <w:rFonts w:ascii="Times New Roman" w:hAnsi="Times New Roman" w:eastAsia="Times New Roman"/>
                <w:b w:val="0"/>
                <w:i w:val="0"/>
                <w:color w:val="1C1612"/>
                <w:sz w:val="20"/>
              </w:rPr>
              <w:t>Lawyers appearing for the parties(including Respondent Nos.1-3) Informed the Tribunal that settlement talks had failed and as such the parties had decided to carry on with the arbitration.</w:t>
            </w:r>
          </w:p>
        </w:tc>
      </w:tr>
      <w:tr>
        <w:tc>
          <w:tcPr>
            <w:tcW w:type="dxa" w:w="4706"/>
            <w:shd w:fill="F4EEE4" w:val="clear"/>
          </w:tcPr>
          <w:p>
            <w:r>
              <w:rPr>
                <w:rFonts w:ascii="Times New Roman" w:hAnsi="Times New Roman" w:eastAsia="Times New Roman"/>
                <w:b w:val="0"/>
                <w:i w:val="0"/>
                <w:color w:val="1C1612"/>
                <w:sz w:val="20"/>
              </w:rPr>
              <w:t>15.02.2025</w:t>
            </w:r>
          </w:p>
        </w:tc>
        <w:tc>
          <w:tcPr>
            <w:tcW w:type="dxa" w:w="4706"/>
            <w:shd w:fill="F4EEE4" w:val="clear"/>
          </w:tcPr>
          <w:p>
            <w:r>
              <w:rPr>
                <w:rFonts w:ascii="Times New Roman" w:hAnsi="Times New Roman" w:eastAsia="Times New Roman"/>
                <w:b w:val="0"/>
                <w:i w:val="0"/>
                <w:color w:val="1C1612"/>
                <w:sz w:val="20"/>
              </w:rPr>
              <w:t>Advocate on behalf of Respondents 1-3 made an application to the Tribunal seeking a modification of the minutes of proceedings dated26.08.2024.</w:t>
            </w:r>
          </w:p>
        </w:tc>
      </w:tr>
      <w:tr>
        <w:tc>
          <w:tcPr>
            <w:tcW w:type="dxa" w:w="4706"/>
            <w:shd w:fill="FFFFFF" w:val="clear"/>
          </w:tcPr>
          <w:p>
            <w:r>
              <w:rPr>
                <w:rFonts w:ascii="Times New Roman" w:hAnsi="Times New Roman" w:eastAsia="Times New Roman"/>
                <w:b w:val="0"/>
                <w:i w:val="0"/>
                <w:color w:val="1C1612"/>
                <w:sz w:val="20"/>
              </w:rPr>
              <w:t>19.02.2025</w:t>
            </w:r>
          </w:p>
        </w:tc>
        <w:tc>
          <w:tcPr>
            <w:tcW w:type="dxa" w:w="4706"/>
            <w:shd w:fill="FFFFFF" w:val="clear"/>
          </w:tcPr>
          <w:p>
            <w:r>
              <w:rPr>
                <w:rFonts w:ascii="Times New Roman" w:hAnsi="Times New Roman" w:eastAsia="Times New Roman"/>
                <w:b w:val="0"/>
                <w:i w:val="0"/>
                <w:color w:val="1C1612"/>
                <w:sz w:val="20"/>
              </w:rPr>
              <w:t>Advocate for Respondent Nos.1-3,states that he will file his statement of defence on1stMarch2025.The matter is fixed on1stMarch2025for arguments on the prayer for receivership and the application filed by Respondent Nos.1-3on15.02.2025.</w:t>
            </w:r>
          </w:p>
        </w:tc>
      </w:tr>
      <w:tr>
        <w:tc>
          <w:tcPr>
            <w:tcW w:type="dxa" w:w="4706"/>
            <w:shd w:fill="F4EEE4" w:val="clear"/>
          </w:tcPr>
          <w:p>
            <w:r>
              <w:rPr>
                <w:rFonts w:ascii="Times New Roman" w:hAnsi="Times New Roman" w:eastAsia="Times New Roman"/>
                <w:b w:val="0"/>
                <w:i w:val="0"/>
                <w:color w:val="1C1612"/>
                <w:sz w:val="20"/>
              </w:rPr>
              <w:t>01.03.2025</w:t>
            </w:r>
          </w:p>
        </w:tc>
        <w:tc>
          <w:tcPr>
            <w:tcW w:type="dxa" w:w="4706"/>
            <w:shd w:fill="F4EEE4" w:val="clear"/>
          </w:tcPr>
          <w:p>
            <w:r>
              <w:rPr>
                <w:rFonts w:ascii="Times New Roman" w:hAnsi="Times New Roman" w:eastAsia="Times New Roman"/>
                <w:b w:val="0"/>
                <w:i w:val="0"/>
                <w:color w:val="1C1612"/>
                <w:sz w:val="20"/>
              </w:rPr>
              <w:t>Application by advocate for Respondent Nos.1-3 for a week&amp;#x27;s time to file statement of defence.</w:t>
            </w:r>
          </w:p>
        </w:tc>
      </w:tr>
      <w:tr>
        <w:tc>
          <w:tcPr>
            <w:tcW w:type="dxa" w:w="4706"/>
            <w:shd w:fill="FFFFFF" w:val="clear"/>
          </w:tcPr>
          <w:p>
            <w:r>
              <w:rPr>
                <w:rFonts w:ascii="Times New Roman" w:hAnsi="Times New Roman" w:eastAsia="Times New Roman"/>
                <w:b w:val="0"/>
                <w:i w:val="0"/>
                <w:color w:val="1C1612"/>
                <w:sz w:val="20"/>
              </w:rPr>
              <w:t>08.03.2025</w:t>
            </w:r>
          </w:p>
        </w:tc>
        <w:tc>
          <w:tcPr>
            <w:tcW w:type="dxa" w:w="4706"/>
            <w:shd w:fill="FFFFFF" w:val="clear"/>
          </w:tcPr>
          <w:p>
            <w:r>
              <w:rPr>
                <w:rFonts w:ascii="Times New Roman" w:hAnsi="Times New Roman" w:eastAsia="Times New Roman"/>
                <w:b w:val="0"/>
                <w:i w:val="0"/>
                <w:color w:val="1C1612"/>
                <w:sz w:val="20"/>
              </w:rPr>
              <w:t>Respondents Nos.1-3filed their Statement of Defence.If there was any objection to the jurisdiction of the Tribunal it ought to have been raised by an application under Section16 along with or prior to the filing of the Statement of Defence.</w:t>
            </w:r>
          </w:p>
        </w:tc>
      </w:tr>
      <w:tr>
        <w:tc>
          <w:tcPr>
            <w:tcW w:type="dxa" w:w="4706"/>
            <w:shd w:fill="F4EEE4" w:val="clear"/>
          </w:tcPr>
          <w:p>
            <w:r>
              <w:rPr>
                <w:rFonts w:ascii="Times New Roman" w:hAnsi="Times New Roman" w:eastAsia="Times New Roman"/>
                <w:b w:val="0"/>
                <w:i w:val="0"/>
                <w:color w:val="1C1612"/>
                <w:sz w:val="20"/>
              </w:rPr>
              <w:t>22.03.2025</w:t>
            </w:r>
          </w:p>
        </w:tc>
        <w:tc>
          <w:tcPr>
            <w:tcW w:type="dxa" w:w="4706"/>
            <w:shd w:fill="F4EEE4" w:val="clear"/>
          </w:tcPr>
          <w:p>
            <w:r>
              <w:rPr>
                <w:rFonts w:ascii="Times New Roman" w:hAnsi="Times New Roman" w:eastAsia="Times New Roman"/>
                <w:b w:val="0"/>
                <w:i w:val="0"/>
                <w:color w:val="1C1612"/>
                <w:sz w:val="20"/>
              </w:rPr>
              <w:t>Respondent No.2,along with other heirs,filed her own Application under Section17 for interim measures,seeking directions against the Claimant.By this Application under Section17 Respondent No.2affirmed that she had accepted the Jurisdiction of the Tribunal from whom she sought interim relief pending final disposal of the arbitration proceedings.</w:t>
            </w:r>
          </w:p>
        </w:tc>
      </w:tr>
    </w:tbl>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05.04.2025</w:t>
            </w:r>
          </w:p>
        </w:tc>
        <w:tc>
          <w:tcPr>
            <w:tcW w:type="dxa" w:w="4706"/>
            <w:shd w:fill="8B2E2E" w:val="clear"/>
          </w:tcPr>
          <w:p>
            <w:r>
              <w:rPr>
                <w:rFonts w:ascii="Times New Roman" w:hAnsi="Times New Roman" w:eastAsia="Times New Roman"/>
                <w:b/>
                <w:i w:val="0"/>
                <w:color w:val="FFFFFF"/>
                <w:sz w:val="20"/>
              </w:rPr>
              <w:t>Interim application filed under Section 17 of the Arbitration Act argued. Advocate for Respondent Nos. 1-3 stated that he would argue on the next date.</w:t>
            </w:r>
          </w:p>
        </w:tc>
      </w:tr>
      <w:tr>
        <w:tc>
          <w:tcPr>
            <w:tcW w:type="dxa" w:w="4706"/>
            <w:shd w:fill="FFFFFF" w:val="clear"/>
          </w:tcPr>
          <w:p>
            <w:r>
              <w:rPr>
                <w:rFonts w:ascii="Times New Roman" w:hAnsi="Times New Roman" w:eastAsia="Times New Roman"/>
                <w:b w:val="0"/>
                <w:i w:val="0"/>
                <w:color w:val="1C1612"/>
                <w:sz w:val="20"/>
              </w:rPr>
              <w:t>26.04.2026</w:t>
            </w:r>
          </w:p>
        </w:tc>
        <w:tc>
          <w:tcPr>
            <w:tcW w:type="dxa" w:w="4706"/>
            <w:shd w:fill="FFFFFF" w:val="clear"/>
          </w:tcPr>
          <w:p>
            <w:r>
              <w:rPr>
                <w:rFonts w:ascii="Times New Roman" w:hAnsi="Times New Roman" w:eastAsia="Times New Roman"/>
                <w:b w:val="0"/>
                <w:i w:val="0"/>
                <w:color w:val="1C1612"/>
                <w:sz w:val="20"/>
              </w:rPr>
              <w:t>Advocate for Respondent Nos. 1-3 responds to the Claimant&amp;#x27;s application u/s 17 as well as his own Application u/s 17. The minutes record that: &amp;quot;The Parties were ad Idem as regards the appointment of the Receiver. They are to inform the Tribunal on who should be appointed as the Receiver for taking over the management of the Sult Property...&amp;quot;</w:t>
            </w:r>
          </w:p>
        </w:tc>
      </w:tr>
      <w:tr>
        <w:tc>
          <w:tcPr>
            <w:tcW w:type="dxa" w:w="4706"/>
            <w:shd w:fill="F4EEE4" w:val="clear"/>
          </w:tcPr>
          <w:p>
            <w:r>
              <w:rPr>
                <w:rFonts w:ascii="Times New Roman" w:hAnsi="Times New Roman" w:eastAsia="Times New Roman"/>
                <w:b w:val="0"/>
                <w:i w:val="0"/>
                <w:color w:val="1C1612"/>
                <w:sz w:val="20"/>
              </w:rPr>
              <w:t>09.05.2025</w:t>
            </w:r>
          </w:p>
        </w:tc>
        <w:tc>
          <w:tcPr>
            <w:tcW w:type="dxa" w:w="4706"/>
            <w:shd w:fill="F4EEE4" w:val="clear"/>
          </w:tcPr>
          <w:p>
            <w:r>
              <w:rPr>
                <w:rFonts w:ascii="Times New Roman" w:hAnsi="Times New Roman" w:eastAsia="Times New Roman"/>
                <w:b w:val="0"/>
                <w:i w:val="0"/>
                <w:color w:val="1C1612"/>
                <w:sz w:val="20"/>
              </w:rPr>
              <w:t>Advocate for Respondent Nos. 1-3 states that he is unable to name a receiver as noted in the minutes dated 26.04.2025 as the Application for documents filed by him under Section 17 has not been decided yet.</w:t>
            </w:r>
          </w:p>
        </w:tc>
      </w:tr>
      <w:tr>
        <w:tc>
          <w:tcPr>
            <w:tcW w:type="dxa" w:w="4706"/>
            <w:shd w:fill="FFFFFF" w:val="clear"/>
          </w:tcPr>
          <w:p>
            <w:r>
              <w:rPr>
                <w:rFonts w:ascii="Times New Roman" w:hAnsi="Times New Roman" w:eastAsia="Times New Roman"/>
                <w:b w:val="0"/>
                <w:i w:val="0"/>
                <w:color w:val="1C1612"/>
                <w:sz w:val="20"/>
              </w:rPr>
              <w:t>08.06.2025-28.02.2026</w:t>
            </w:r>
          </w:p>
        </w:tc>
        <w:tc>
          <w:tcPr>
            <w:tcW w:type="dxa" w:w="4706"/>
            <w:shd w:fill="FFFFFF" w:val="clear"/>
          </w:tcPr>
          <w:p>
            <w:r>
              <w:rPr>
                <w:rFonts w:ascii="Times New Roman" w:hAnsi="Times New Roman" w:eastAsia="Times New Roman"/>
                <w:b w:val="0"/>
                <w:i w:val="0"/>
                <w:color w:val="1C1612"/>
                <w:sz w:val="20"/>
              </w:rPr>
              <w:t>7-8 hearings held by the Tribunal. During these hearings the advocate for Respondents 1-3 repeatedly sought time.</w:t>
            </w:r>
          </w:p>
        </w:tc>
      </w:tr>
      <w:tr>
        <w:tc>
          <w:tcPr>
            <w:tcW w:type="dxa" w:w="4706"/>
            <w:shd w:fill="F4EEE4" w:val="clear"/>
          </w:tcPr>
          <w:p>
            <w:r>
              <w:rPr>
                <w:rFonts w:ascii="Times New Roman" w:hAnsi="Times New Roman" w:eastAsia="Times New Roman"/>
                <w:b w:val="0"/>
                <w:i w:val="0"/>
                <w:color w:val="1C1612"/>
                <w:sz w:val="20"/>
              </w:rPr>
              <w:t>14.03.2026</w:t>
            </w:r>
          </w:p>
        </w:tc>
        <w:tc>
          <w:tcPr>
            <w:tcW w:type="dxa" w:w="4706"/>
            <w:shd w:fill="F4EEE4" w:val="clear"/>
          </w:tcPr>
          <w:p>
            <w:r>
              <w:rPr>
                <w:rFonts w:ascii="Times New Roman" w:hAnsi="Times New Roman" w:eastAsia="Times New Roman"/>
                <w:b w:val="0"/>
                <w:i w:val="0"/>
                <w:color w:val="1C1612"/>
                <w:sz w:val="20"/>
              </w:rPr>
              <w:t>Respondent No. 2 filed the present Section 16 Application, more than one year after the submission of the Statement of Defence. The plea that the application could not be filed earlier on account of settlement talks is misconceived.</w:t>
            </w:r>
          </w:p>
        </w:tc>
      </w:tr>
    </w:tbl>
    <w:p>
      <w:r>
        <w:rPr>
          <w:rFonts w:ascii="Times New Roman" w:hAnsi="Times New Roman" w:eastAsia="Times New Roman"/>
          <w:b/>
          <w:i w:val="0"/>
          <w:color w:val="8B2E2E"/>
          <w:sz w:val="26"/>
        </w:rPr>
        <w:t>3. Judicial Precedents on Mandatory Timelines:</w:t>
      </w:r>
    </w:p>
    <w:p>
      <w:r>
        <w:rPr>
          <w:rFonts w:ascii="Times New Roman" w:hAnsi="Times New Roman" w:eastAsia="Times New Roman"/>
          <w:b w:val="0"/>
          <w:i w:val="0"/>
          <w:sz w:val="22"/>
        </w:rPr>
        <w:t>The Hon'ble Supreme Court has repeatedly held that the timeline in Section 16(2) is mandatory.</w:t>
      </w:r>
    </w:p>
    <w:p>
      <w:r>
        <w:rPr>
          <w:rFonts w:ascii="Times New Roman" w:hAnsi="Times New Roman" w:eastAsia="Times New Roman"/>
          <w:b w:val="0"/>
          <w:i w:val="0"/>
          <w:sz w:val="22"/>
        </w:rPr>
        <w:t>In MSP Infrastructure Ltd. v. Madhya Praa SCC 713, the Court held:</w:t>
      </w:r>
    </w:p>
    <w:p>
      <w:r>
        <w:rPr>
          <w:rFonts w:ascii="Times New Roman" w:hAnsi="Times New Roman" w:eastAsia="Times New Roman"/>
          <w:b w:val="0"/>
          <w:i w:val="0"/>
          <w:sz w:val="22"/>
        </w:rPr>
        <w:t>sh Road Development Corp. (2015) 13</w:t>
      </w:r>
    </w:p>
    <w:p>
      <w:r>
        <w:rPr>
          <w:rFonts w:ascii="Times New Roman" w:hAnsi="Times New Roman" w:eastAsia="Times New Roman"/>
          <w:b w:val="0"/>
          <w:i w:val="0"/>
          <w:sz w:val="22"/>
        </w:rPr>
        <w:t>"A party is bound, by virtue of Section 16(2), to raise any objection it may have to the jurisdiction of the Tribunal before or at the time of submission of its statement of defence, and at any time thereafter it is expressly prohibited."</w:t>
      </w:r>
    </w:p>
    <w:p/>
    <w:p>
      <w:r>
        <w:rPr>
          <w:rFonts w:ascii="Times New Roman" w:hAnsi="Times New Roman" w:eastAsia="Times New Roman"/>
          <w:b w:val="0"/>
          <w:i w:val="0"/>
          <w:sz w:val="22"/>
        </w:rPr>
        <w:t>In M/s. Vidhyawati Construction Company v. Union of India (2025) 5 SCC 347, the Apex Court reaffirmed that a jurisdictional objection not raised at the stage of filing the Statement of Defence is deemed to have been waived.</w:t>
      </w:r>
    </w:p>
    <w:p>
      <w:r>
        <w:rPr>
          <w:rFonts w:ascii="Times New Roman" w:hAnsi="Times New Roman" w:eastAsia="Times New Roman"/>
          <w:b w:val="0"/>
          <w:i w:val="0"/>
          <w:sz w:val="22"/>
        </w:rPr>
        <w:t>II. DOCTRINE OF WAIVER AND ACQUISCENCE (Section 4)</w:t>
      </w:r>
    </w:p>
    <w:p>
      <w:r>
        <w:rPr>
          <w:rFonts w:ascii="Times New Roman" w:hAnsi="Times New Roman" w:eastAsia="Times New Roman"/>
          <w:b/>
          <w:i w:val="0"/>
          <w:color w:val="8B2E2E"/>
          <w:sz w:val="26"/>
        </w:rPr>
        <w:t>4. Submission by Conduct:</w:t>
      </w:r>
    </w:p>
    <w:p>
      <w:r>
        <w:rPr>
          <w:rFonts w:ascii="Times New Roman" w:hAnsi="Times New Roman" w:eastAsia="Times New Roman"/>
          <w:b w:val="0"/>
          <w:i w:val="0"/>
          <w:sz w:val="22"/>
        </w:rPr>
        <w:t>Respondent No. 4 submits that Respondent No. 2’s active participation in 21 hearings and her filing of a Section 17 application seeking positive reliefs from this Tribunal constitutes acquiescence and waiver of any right to object to jurisdiction under Section 4 of the Act. In Prasun Roy v Calcutta Metropolitan Development Authority &amp; Anr. (1987) 4 SCC 217 the Supreme Court held:</w:t>
      </w:r>
    </w:p>
    <w:p>
      <w:r>
        <w:rPr>
          <w:rFonts w:ascii="Times New Roman" w:hAnsi="Times New Roman" w:eastAsia="Times New Roman"/>
          <w:b w:val="0"/>
          <w:i w:val="0"/>
          <w:sz w:val="22"/>
        </w:rPr>
        <w:t>“The principle is that a party shall not be allowed to blow hot and cold simultaneously. Long participation and acquiescence in the proceeding preclude such a party from contending that the proceedings were without jurisdiction.”</w:t>
      </w:r>
    </w:p>
    <w:p>
      <w:r>
        <w:rPr>
          <w:rFonts w:ascii="Times New Roman" w:hAnsi="Times New Roman" w:eastAsia="Times New Roman"/>
          <w:b/>
          <w:i w:val="0"/>
          <w:color w:val="8B2E2E"/>
          <w:sz w:val="26"/>
        </w:rPr>
        <w:t>5. Party not permitted to approbate and reprobate</w:t>
      </w:r>
    </w:p>
    <w:p>
      <w:r>
        <w:rPr>
          <w:rFonts w:ascii="Times New Roman" w:hAnsi="Times New Roman" w:eastAsia="Times New Roman"/>
          <w:b w:val="0"/>
          <w:i w:val="0"/>
          <w:sz w:val="22"/>
        </w:rPr>
        <w:t>The Respondent No. 2 cannot be permitted to "approbate and reprobate"—invoking the Tribunal’s power for interim reliefs when convenient, and then challenging its jurisdiction when the merits of the Claimant's and Respondent No. 4’s case are brought to light. In Agri Gold Exims Ltd. v Sri Laxmi Knits &amp; Wovens &amp; Others (2007) 3 SCC 686 the Supreme Court held that a party cannot take inconsistent stands and thereby cannot be permitted to approbate and reprobate. Further, in BSNL Ltd. v. Motorola India Pvt. Ltd. (2009) 2 SCC 337, the Supreme Court held that once a party submits to the proceedings and participates without protest, they cannot later assail the jurisdiction of the forum.</w:t>
      </w:r>
    </w:p>
    <w:p>
      <w:r>
        <w:rPr>
          <w:rFonts w:ascii="Times New Roman" w:hAnsi="Times New Roman" w:eastAsia="Times New Roman"/>
          <w:b/>
          <w:i w:val="0"/>
          <w:color w:val="8B2E2E"/>
          <w:sz w:val="26"/>
        </w:rPr>
        <w:t>III. BINDING NATURE OF THE ARBITRATION AGREEMENT ON NON-SIGNATORIES</w:t>
      </w:r>
    </w:p>
    <w:p>
      <w:r>
        <w:rPr>
          <w:rFonts w:ascii="Times New Roman" w:hAnsi="Times New Roman" w:eastAsia="Times New Roman"/>
          <w:b/>
          <w:i w:val="0"/>
          <w:color w:val="8B2E2E"/>
          <w:sz w:val="26"/>
        </w:rPr>
        <w:t>6. Liability as a Legal Heir under Clause 28:</w:t>
      </w:r>
    </w:p>
    <w:p>
      <w:r>
        <w:rPr>
          <w:rFonts w:ascii="Times New Roman" w:hAnsi="Times New Roman" w:eastAsia="Times New Roman"/>
          <w:b w:val="0"/>
          <w:i w:val="0"/>
          <w:sz w:val="22"/>
        </w:rPr>
        <w:t>Respondent No. 2 claims she is not a signatory to the Articles of Association (AOA) dated April 1, 2013. However, she is the legal heir of Late Mr. Pascoal Trindade.</w:t>
      </w:r>
    </w:p>
    <w:p/>
    <w:p>
      <w:r>
        <w:rPr>
          <w:rFonts w:ascii="Times New Roman" w:hAnsi="Times New Roman" w:eastAsia="Times New Roman"/>
          <w:b w:val="0"/>
          <w:i w:val="0"/>
          <w:sz w:val="22"/>
        </w:rPr>
        <w:t>Clause 28 of the AOA explicitly provides:</w:t>
      </w:r>
    </w:p>
    <w:p>
      <w:r>
        <w:rPr>
          <w:rFonts w:ascii="Times New Roman" w:hAnsi="Times New Roman" w:eastAsia="Times New Roman"/>
          <w:b w:val="0"/>
          <w:i w:val="0"/>
          <w:sz w:val="22"/>
        </w:rPr>
        <w:t>"The legal heirs becoming members of the association will inherit all the rights and liabilities of the deceased member".</w:t>
      </w:r>
    </w:p>
    <w:p>
      <w:r>
        <w:rPr>
          <w:rFonts w:ascii="Times New Roman" w:hAnsi="Times New Roman" w:eastAsia="Times New Roman"/>
          <w:b w:val="0"/>
          <w:i w:val="0"/>
          <w:sz w:val="22"/>
        </w:rPr>
        <w:t>Clause 35 mandates that any dispute between members and legal heirs shall be referred to arbitration.</w:t>
      </w:r>
    </w:p>
    <w:p>
      <w:r>
        <w:rPr>
          <w:rFonts w:ascii="Times New Roman" w:hAnsi="Times New Roman" w:eastAsia="Times New Roman"/>
          <w:b/>
          <w:i w:val="0"/>
          <w:color w:val="8B2E2E"/>
          <w:sz w:val="26"/>
        </w:rPr>
        <w:t>7. Participation in Performance and Intent:</w:t>
      </w:r>
    </w:p>
    <w:p>
      <w:r>
        <w:rPr>
          <w:rFonts w:ascii="Times New Roman" w:hAnsi="Times New Roman" w:eastAsia="Times New Roman"/>
          <w:b w:val="0"/>
          <w:i w:val="0"/>
          <w:sz w:val="22"/>
        </w:rPr>
        <w:t>Respondent No. 4 states that Respondent No. 2 was a party to the Joint Venture Agreement ("JVA") dated April 25, 2014, where she was represented by her late husband via a Power of Attorney dated December 9, 1996. The JVA describes the Association as a partnership and incorporates the arbitration clause, thereby demonstrating a clear intent to be bound by the project's contractual framework.</w:t>
      </w:r>
    </w:p>
    <w:p>
      <w:r>
        <w:rPr>
          <w:rFonts w:ascii="Times New Roman" w:hAnsi="Times New Roman" w:eastAsia="Times New Roman"/>
          <w:b/>
          <w:i w:val="0"/>
          <w:color w:val="8B2E2E"/>
          <w:sz w:val="26"/>
        </w:rPr>
        <w:t>8. Non-Signatories can also be made parties to arbitration</w:t>
      </w:r>
    </w:p>
    <w:p>
      <w:r>
        <w:rPr>
          <w:rFonts w:ascii="Times New Roman" w:hAnsi="Times New Roman" w:eastAsia="Times New Roman"/>
          <w:b w:val="0"/>
          <w:i w:val="0"/>
          <w:sz w:val="22"/>
        </w:rPr>
        <w:t>The Constitution Bench in Cox and Kings Ltd. v. SAP India Pvt. Ltd. (2023) SCC OnLine SC 1634 held that the "Group of Companies" doctrine and the conduct of parties can bind non-signatories who are "veritable parties" to the underlying commercial transaction.</w:t>
      </w:r>
    </w:p>
    <w:p>
      <w:r>
        <w:rPr>
          <w:rFonts w:ascii="Times New Roman" w:hAnsi="Times New Roman" w:eastAsia="Times New Roman"/>
          <w:b w:val="0"/>
          <w:i w:val="0"/>
          <w:sz w:val="22"/>
        </w:rPr>
        <w:t>In Chloro Controls India Pvt. Ltd. v. Severn Trent Water Purification Inc. (2013) 1 SCC 641, it was established that where multiple agreements are interlinked in a composite transaction, even non-signatories can be referred to arbitration.</w:t>
      </w:r>
    </w:p>
    <w:p>
      <w:r>
        <w:rPr>
          <w:rFonts w:ascii="Times New Roman" w:hAnsi="Times New Roman" w:eastAsia="Times New Roman"/>
          <w:b w:val="0"/>
          <w:i w:val="0"/>
          <w:sz w:val="22"/>
        </w:rPr>
        <w:t>The suit properties (Survey Nos. 93/3 and 93/4) were introduced into the Association as working capital by Pascoal Trindade as his contribution, effectively ceasing to be his personal property. The purpose of introducing the suit properties as working capital was to facilitate development of the said properties and to sell and distribute the gains obtained therefrom. Respondent No. 2, having derived benefits and participated in the JVA, cannot now claim immunity from the arbitration clause.</w:t>
      </w:r>
    </w:p>
    <w:p>
      <w:r>
        <w:rPr>
          <w:rFonts w:ascii="Times New Roman" w:hAnsi="Times New Roman" w:eastAsia="Times New Roman"/>
          <w:b/>
          <w:i w:val="0"/>
          <w:color w:val="8B2E2E"/>
          <w:sz w:val="26"/>
        </w:rPr>
        <w:t>IV. SUBSTANTIAL VESTED INTEREST OF RESPONDENT NO. 4</w:t>
      </w:r>
    </w:p>
    <w:p>
      <w:r>
        <w:rPr>
          <w:rFonts w:ascii="Times New Roman" w:hAnsi="Times New Roman" w:eastAsia="Times New Roman"/>
          <w:b/>
          <w:i w:val="0"/>
          <w:color w:val="8B2E2E"/>
          <w:sz w:val="26"/>
        </w:rPr>
        <w:t>9. Direct Financial Stake:</w:t>
      </w:r>
    </w:p>
    <w:p/>
    <w:p>
      <w:r>
        <w:rPr>
          <w:rFonts w:ascii="Times New Roman" w:hAnsi="Times New Roman" w:eastAsia="Times New Roman"/>
          <w:b w:val="0"/>
          <w:i w:val="0"/>
          <w:sz w:val="22"/>
        </w:rPr>
        <w:t>Respondent No. 4 is not a mere formal party but a significant investor who has advanced Rs. 1,06,50,000/- to the deceased for property development. These payments, made between 2011 and 2013, are captured in notarized bank records and Clause 9 of the AOA.</w:t>
      </w:r>
    </w:p>
    <w:p>
      <w:r>
        <w:rPr>
          <w:rFonts w:ascii="Times New Roman" w:hAnsi="Times New Roman" w:eastAsia="Times New Roman"/>
          <w:b w:val="0"/>
          <w:i w:val="0"/>
          <w:sz w:val="22"/>
        </w:rPr>
        <w:t>Respondent No. 4 holds a 24.30% share in the profits and assets of M/s PVM Associates. Any delay caused by this jurisdictional challenge directly prejudices the ability of Respondent No. 4 to recover his investment and resolve the deadlock caused by the heirs' non-cooperation.</w:t>
      </w:r>
    </w:p>
    <w:p>
      <w:r>
        <w:rPr>
          <w:rFonts w:ascii="Times New Roman" w:hAnsi="Times New Roman" w:eastAsia="Times New Roman"/>
          <w:b/>
          <w:i w:val="0"/>
          <w:color w:val="8B2E2E"/>
          <w:sz w:val="26"/>
        </w:rPr>
        <w:t>10. Fundamental Breach of Contract:</w:t>
      </w:r>
    </w:p>
    <w:p>
      <w:r>
        <w:rPr>
          <w:rFonts w:ascii="Times New Roman" w:hAnsi="Times New Roman" w:eastAsia="Times New Roman"/>
          <w:b w:val="0"/>
          <w:i w:val="0"/>
          <w:sz w:val="22"/>
        </w:rPr>
        <w:t>The heirs (Respondents 1–3) have failed to defend the AOP's interests in litigation, leading to the revocation of development permissions by the District Court on October 30, 2023, resulting in a loss of Rs. 20 Crores. These defaults constitute a breach of the AOA, making the dispute inherently arbitrable.</w:t>
      </w:r>
    </w:p>
    <w:p>
      <w:r>
        <w:rPr>
          <w:rFonts w:ascii="Times New Roman" w:hAnsi="Times New Roman" w:eastAsia="Times New Roman"/>
          <w:b/>
          <w:i w:val="0"/>
          <w:color w:val="8B2E2E"/>
          <w:sz w:val="26"/>
        </w:rPr>
        <w:t>V. ARGUMENT THAT STATEMENT OF CLAIM SEEKS RELIEFS WHICH ARE “IN REM” &amp; HENCE NOR ARBITRABLE</w:t>
      </w:r>
    </w:p>
    <w:p>
      <w:r>
        <w:rPr>
          <w:rFonts w:ascii="Times New Roman" w:hAnsi="Times New Roman" w:eastAsia="Times New Roman"/>
          <w:b/>
          <w:i w:val="0"/>
          <w:color w:val="8B2E2E"/>
          <w:sz w:val="26"/>
        </w:rPr>
        <w:t>11. Rights in Personam vs. Rights in Rem.</w:t>
      </w:r>
    </w:p>
    <w:p>
      <w:r>
        <w:rPr>
          <w:rFonts w:ascii="Times New Roman" w:hAnsi="Times New Roman" w:eastAsia="Times New Roman"/>
          <w:b w:val="0"/>
          <w:i w:val="0"/>
          <w:sz w:val="22"/>
        </w:rPr>
        <w:t>Defendant No. 2 after having accepted the jurisdiction of the Tribunal and having filed an application for interim relief under Section 17, now alleges that reliefs sought for in the arbitration are for declarations in rem and are therefore not arbitrable. In her written synopsis, Respondent No. 2 relies heavily on the landmark Supreme Court decisions in Booz Allen &amp; Hamilton Inc. v. SBI Home Finance Ltd. and Vidya Drolia v. Durga Trading Corpn. to argue that the Claimant's requests for partition and title determination are non-arbitrable "actions in rem". However, the judgment in Booz Allen explicitly distinguishes between rights exercisable against the world at large and those protected solely against individuals. The Supreme Court held:</w:t>
      </w:r>
    </w:p>
    <w:p>
      <w:r>
        <w:rPr>
          <w:rFonts w:ascii="Times New Roman" w:hAnsi="Times New Roman" w:eastAsia="Times New Roman"/>
          <w:b w:val="0"/>
          <w:i w:val="0"/>
          <w:sz w:val="22"/>
        </w:rPr>
        <w:t>"A right in rem is a right exercisable against the world at large, as contrasted from a right in personam which is an interest protected solely against specific individuals. Actions in personam refer to actions determining the rights and interests of the parties themselves in the subject-matter of the case...”.</w:t>
      </w:r>
    </w:p>
    <w:p>
      <w:r>
        <w:rPr>
          <w:rFonts w:ascii="Times New Roman" w:hAnsi="Times New Roman" w:eastAsia="Times New Roman"/>
          <w:b w:val="0"/>
          <w:i w:val="0"/>
          <w:sz w:val="22"/>
        </w:rPr>
        <w:t>In the present case, the arbitration arises strictly from the Articles of Association (AOA) dated 01.04.2013. The Claimant does not seek a declaration of title against the public at large but rather the adjudication of rights and liabilities inter-se the members of M/s PVM Associates and their heirs.</w:t>
      </w:r>
    </w:p>
    <w:p>
      <w:r>
        <w:rPr>
          <w:rFonts w:ascii="Times New Roman" w:hAnsi="Times New Roman" w:eastAsia="Times New Roman"/>
          <w:b/>
          <w:i w:val="0"/>
          <w:color w:val="8B2E2E"/>
          <w:sz w:val="26"/>
        </w:rPr>
        <w:t>12. Arbitrability of Subordinate Rights</w:t>
      </w:r>
    </w:p>
    <w:p>
      <w:r>
        <w:rPr>
          <w:rFonts w:ascii="Times New Roman" w:hAnsi="Times New Roman" w:eastAsia="Times New Roman"/>
          <w:b w:val="0"/>
          <w:i w:val="0"/>
          <w:sz w:val="22"/>
        </w:rPr>
        <w:t>Booz Allen further clarifies that not all disputes involving property are non-arbitrable:</w:t>
      </w:r>
    </w:p>
    <w:p>
      <w:r>
        <w:rPr>
          <w:rFonts w:ascii="Times New Roman" w:hAnsi="Times New Roman" w:eastAsia="Times New Roman"/>
          <w:b w:val="0"/>
          <w:i w:val="0"/>
          <w:sz w:val="22"/>
        </w:rPr>
        <w:t>“Disputes relating to subordinate rights in personam arising from rights in rem have always been considered to be arbitrable”.</w:t>
      </w:r>
    </w:p>
    <w:p>
      <w:r>
        <w:rPr>
          <w:rFonts w:ascii="Times New Roman" w:hAnsi="Times New Roman" w:eastAsia="Times New Roman"/>
          <w:b w:val="0"/>
          <w:i w:val="0"/>
          <w:sz w:val="22"/>
        </w:rPr>
        <w:t>The request for partition here is a subordinate right necessary to settle accounts and distribute Association assets between the partners based on their agreed ratios. Unlike a mortgage suit (the specific example in Booz Allen), which requires the court to protect third parties like puisne mortgagees, this dispute involves the failure to fulfil contractual obligations—specifically the failure of the heirs to defend the AOP’s interests in litigation and honour settlement terms with the Communidade of Bambolim.</w:t>
      </w:r>
    </w:p>
    <w:p>
      <w:r>
        <w:rPr>
          <w:rFonts w:ascii="Times New Roman" w:hAnsi="Times New Roman" w:eastAsia="Times New Roman"/>
          <w:b/>
          <w:i w:val="0"/>
          <w:color w:val="8B2E2E"/>
          <w:sz w:val="26"/>
        </w:rPr>
        <w:t>13. The Case of Vidya Drolia</w:t>
      </w:r>
    </w:p>
    <w:p>
      <w:r>
        <w:rPr>
          <w:rFonts w:ascii="Times New Roman" w:hAnsi="Times New Roman" w:eastAsia="Times New Roman"/>
          <w:b w:val="0"/>
          <w:i w:val="0"/>
          <w:sz w:val="22"/>
        </w:rPr>
        <w:t>Respondent No. 2 relies on Vidya Drolia to argue that the Tribunal cannot settle the "destiny of the res". However, Vidya Drolia confirms that a judgment in personam is arbitrable because it merely determines rights between the litigants:</w:t>
      </w:r>
    </w:p>
    <w:p>
      <w:r>
        <w:rPr>
          <w:rFonts w:ascii="Times New Roman" w:hAnsi="Times New Roman" w:eastAsia="Times New Roman"/>
          <w:b w:val="0"/>
          <w:i w:val="0"/>
          <w:sz w:val="22"/>
        </w:rPr>
        <w:t>“By contrast, a judgment in personam, ‘although it may concern a res, merely determines the rights of the litigants inter se to the res’…. judgment in rem would operate as res judicata against the world, and judgment in personam would operate as res judicata only against the parties in dispute”.</w:t>
      </w:r>
    </w:p>
    <w:p>
      <w:r>
        <w:rPr>
          <w:rFonts w:ascii="Times New Roman" w:hAnsi="Times New Roman" w:eastAsia="Times New Roman"/>
          <w:b w:val="0"/>
          <w:i w:val="0"/>
          <w:sz w:val="22"/>
        </w:rPr>
        <w:t>This arbitration will not "settle the destiny" of the Bambolim properties against the world as alleged; it will only resolve a commercial deadlock between specific private parties. The outcome of the arbitration will not affect the rights of the public or strangers to the AOA.</w:t>
      </w:r>
    </w:p>
    <w:p>
      <w:r>
        <w:rPr>
          <w:rFonts w:ascii="Times New Roman" w:hAnsi="Times New Roman" w:eastAsia="Times New Roman"/>
          <w:b/>
          <w:i w:val="0"/>
          <w:color w:val="8B2E2E"/>
          <w:sz w:val="26"/>
        </w:rPr>
        <w:t>14. Commercial Deadlock vs. Public Policy</w:t>
      </w:r>
    </w:p>
    <w:p/>
    <w:p>
      <w:r>
        <w:rPr>
          <w:rFonts w:ascii="Times New Roman" w:hAnsi="Times New Roman" w:eastAsia="Times New Roman"/>
          <w:b w:val="0"/>
          <w:i w:val="0"/>
          <w:sz w:val="22"/>
        </w:rPr>
        <w:t>Respondent No. 4 emphasizes that the suit properties were introduced as working assets of the business by Pascoal Trindade. Therefore, the dispute concerns the internal management and distribution of partnership-style assets rather than a fundamental challenge to the records of land maintained by the Registrar. Respondent No. 4 maintains that the challenge is a belated tactic to avoid financial liability for a breach of contract that has already caused a loss of Rs. 20 Crores.</w:t>
      </w:r>
    </w:p>
    <w:p>
      <w:r>
        <w:rPr>
          <w:rFonts w:ascii="Times New Roman" w:hAnsi="Times New Roman" w:eastAsia="Times New Roman"/>
          <w:b/>
          <w:i w:val="0"/>
          <w:color w:val="8B2E2E"/>
          <w:sz w:val="26"/>
        </w:rPr>
        <w:t>VI CONCLUSION</w:t>
      </w:r>
    </w:p>
    <w:p>
      <w:r>
        <w:rPr>
          <w:rFonts w:ascii="Times New Roman" w:hAnsi="Times New Roman" w:eastAsia="Times New Roman"/>
          <w:b w:val="0"/>
          <w:i w:val="0"/>
          <w:sz w:val="22"/>
        </w:rPr>
        <w:t>11. The Application filed by Respondent No. 2 is a mala fide after-thought designed to escape the liabilities inherited from Late Pascoal Trindade. Having participated in the proceedings for 18 months, filed a Statement of Defence, and moved her own Section 17 Application, Respondent No. 2 is estopped by law and conduct from challenging the Tribunal’s jurisdiction.</w:t>
      </w:r>
    </w:p>
    <w:p>
      <w:r>
        <w:rPr>
          <w:rFonts w:ascii="Times New Roman" w:hAnsi="Times New Roman" w:eastAsia="Times New Roman"/>
          <w:b w:val="0"/>
          <w:i w:val="0"/>
          <w:sz w:val="22"/>
        </w:rPr>
        <w:t>In view of the above, it is respectfully prayed that this Hon’ble Tribunal be pleased to:</w:t>
      </w:r>
    </w:p>
    <w:p>
      <w:r>
        <w:rPr>
          <w:rFonts w:ascii="Times New Roman" w:hAnsi="Times New Roman" w:eastAsia="Times New Roman"/>
          <w:b w:val="0"/>
          <w:i w:val="0"/>
          <w:sz w:val="22"/>
        </w:rPr>
        <w:t>a) Dismiss the Section 16 Application with exemplary costs;</w:t>
      </w:r>
    </w:p>
    <w:p>
      <w:r>
        <w:rPr>
          <w:rFonts w:ascii="Times New Roman" w:hAnsi="Times New Roman" w:eastAsia="Times New Roman"/>
          <w:b w:val="0"/>
          <w:i w:val="0"/>
          <w:sz w:val="22"/>
        </w:rPr>
        <w:t>b) Proceed with the arbitration on merits without any further delay to protect and adjudicate upon the investments of all members of the Association.</w:t>
      </w:r>
    </w:p>
    <w:p>
      <w:r>
        <w:rPr>
          <w:rFonts w:ascii="Times New Roman" w:hAnsi="Times New Roman" w:eastAsia="Times New Roman"/>
          <w:b w:val="0"/>
          <w:i w:val="0"/>
          <w:sz w:val="22"/>
        </w:rPr>
        <w:t>Respondent No. 4. Advocate for Respondent No. 4</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